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sectPr>
          <w:pgSz w:h="15840" w:w="12240" w:orient="portrait"/>
          <w:pgMar w:bottom="567" w:top="567" w:left="567" w:right="567" w:header="709" w:footer="709"/>
          <w:pgNumType w:start="1"/>
        </w:sect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114300" distR="114300">
            <wp:extent cx="6788150" cy="8989695"/>
            <wp:effectExtent b="0" l="0" r="0" t="0"/>
            <wp:docPr id="102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788150" cy="898969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ЗМІСТ </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Загальні положення.</w:t>
        <w:br w:type="textWrapping"/>
        <w:t xml:space="preserve">2. Стратегія  та процедури забезпечення якості освіти.</w:t>
        <w:br w:type="textWrapping"/>
        <w:t xml:space="preserve">3. Система та механізми забезпечення академічної доброчесності.</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Критерії, правила і процедури оцінювання освітнього середовища.</w:t>
        <w:br w:type="textWrapping"/>
        <w:br w:type="textWrapping"/>
        <w:t xml:space="preserve">5. Критерії, правила і процедури оцінювання здобувачів освіти.</w:t>
        <w:br w:type="textWrapping"/>
        <w:t xml:space="preserve">6. Критерії, правила і процедури оцінювання педагогічної  діяльності педагогічних працівників.</w:t>
        <w:br w:type="textWrapping"/>
        <w:t xml:space="preserve">7. Критерії, правила і процедури оцінювання управлінської діяльності керівних працівників закладу освіти.</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 Розбудова внутрішньої сиcтеми забезпечення</w:t>
        <w:br w:type="textWrapping"/>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І. Загальні положення</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 Положення про внутрішню систему забезпечення якості освіти в Ніжинській ЗОШ І-ІІІ ступенів №7 Ніжинської міської ради розроблено відповідно до вимог частини третьої статті 41 Закону України «Про освіту», Концепції реалізації державної політики у сфері реформування загальної середньої освіти «Нова українська школа» на період до 2029 року, Статуту закладу освіти та інших нормативних документів.</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 Терміни та їх визначення, що вживаються в Положенні: </w:t>
        <w:br w:type="textWrapping"/>
        <w:t xml:space="preserve">- Поло́ження – локально-правовий акт, що визначає основні правила організації, описує мету, структуру, взаємні обов'язки групи людей чи організацій, які об'єдналися для досягнення спільної мети. </w:t>
        <w:br w:type="textWrapping"/>
        <w:t xml:space="preserve">- Стратегія –довгостроковий, послідовний, конструктивний, раціональний, підкріплений ідеологією, стійкий до невизначеності умов середовища план, який супроводжується постійним аналізом та моніторингом у процесі його реалізації та спрямований з певною метою на досягнення успіху в кінцевому результаті. </w:t>
        <w:br w:type="textWrapping"/>
        <w:t xml:space="preserve">- Процедура – офіційно встановлений чи узвичаєний порядок здійснення, виконання або оформлення чого-небудь. </w:t>
        <w:br w:type="textWrapping"/>
        <w:t xml:space="preserve">- Механізм – комплексний процес, спосіб організації. </w:t>
        <w:br w:type="textWrapping"/>
        <w:t xml:space="preserve">- Критерії – вимоги для визначення або оцінки людини, предмета, явища (або: ознака, на підставі якої виробляється оцінка).</w:t>
        <w:br w:type="textWrapping"/>
        <w:t xml:space="preserve">- Правило – вимога для виконання якихось умов всіма учасниками якої-небудь дії. </w:t>
        <w:br w:type="textWrapping"/>
        <w:t xml:space="preserve">- Інструмент – засіб, спосіб для досягнення чогось. </w:t>
        <w:br w:type="textWrapping"/>
        <w:t xml:space="preserve">- Моніторинг якості освіти - система послідовних і систематичних заходів, що здійснюються з метою виявлення та відстеження тенденцій у розвитку якості освіти у закладі освіти, встановлення відповідності фактичних результатів освітньої діяльності її заявленим цілям, а також оцінювання ступеня, напряму і причин відхилень від цілей. </w:t>
        <w:br w:type="textWrapping"/>
        <w:t xml:space="preserve">- Інклюзивне освітнє середовище - сукупність умов, способів і засобів їх реалізації для спільного навчання, виховання та розвитку здобувачів освіти з урахуванням їхніх потреб та можливостей; </w:t>
        <w:br w:type="textWrapping"/>
        <w:t xml:space="preserve">- Академічна доброчесність -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w:t>
        <w:br w:type="textWrapping"/>
        <w:t xml:space="preserve">- 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 </w:t>
        <w:br w:type="textWrapping"/>
        <w:t xml:space="preserve">- Фабрикація - вигадування даних чи фактів, що використовуються в освітньому процесі; </w:t>
        <w:br w:type="textWrapping"/>
        <w:t xml:space="preserve">-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br w:type="textWrapping"/>
        <w:t xml:space="preserve">- Обман - надання завідомо неправдивої інформації щодо власної освітньої діяльності чи організації освітнього процесу; </w:t>
        <w:br w:type="textWrapping"/>
        <w:t xml:space="preserve">- Хабарництво -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 </w:t>
        <w:br w:type="textWrapping"/>
        <w:t xml:space="preserve">- Необ’єктивне оцінювання - свідоме завищення або заниження оцінки результатів навчання здобувачів освіти, несвоєчасні записи в класних журналах результатів оцінювання;</w:t>
        <w:br w:type="textWrapping"/>
        <w:t xml:space="preserve">1.3. Колегіальним органом управління Ніжинської ЗОШ І-ІІІ ступенів №7, який визначає, затверджує систему, стратегію та процедури внутрішнього забезпечення якості освіти, є педагогічна рада. </w:t>
        <w:br w:type="textWrapping"/>
        <w:t xml:space="preserve">1.4. Внутрішня система забезпечення якості освіти в закладі включає: </w:t>
        <w:br w:type="textWrapping"/>
        <w:t xml:space="preserve">- стратегію та процедури забезпечення якості освіти; </w:t>
        <w:br w:type="textWrapping"/>
        <w:t xml:space="preserve">- систему та механізми забезпечення академічної доброчесності;</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оприлюднені критерії, правила і процедури оцінювання освітнього середовища;</w:t>
        <w:br w:type="textWrapping"/>
        <w:t xml:space="preserve">- оприлюднені критерії, правила і процедури оцінювання здобувачів освіти; </w:t>
        <w:br w:type="textWrapping"/>
        <w:t xml:space="preserve">- критерії, правила і процедури оцінювання педагогічної діяльності педагогічних працівників; </w:t>
        <w:br w:type="textWrapping"/>
        <w:t xml:space="preserve">- оприлюднені критерії, правила і процедури оцінювання управлінської діяльності керівних працівників закладу освіти; </w:t>
        <w:br w:type="textWrapping"/>
        <w:t xml:space="preserve">- забезпечення наявності інформаційних систем для ефективного управління закладом освіти; </w:t>
        <w:br w:type="textWrapping"/>
        <w:t xml:space="preserve">- створення в закладі освіти інклюзивного освітнього середовища, універсального дизайну та розумного пристосування.</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1.5 . Критеріями ефективності внутрішньої системи забезпечення якості освіти є: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досягнення здобувачів освіти, показники результатів їх навчання;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відповідність показників успішності здобувачів освіти результатам їх навчання на кожному рівні повної загальної середньої освіти під час державної підсумкової атестації, зовнішнього незалежного оцінювання;</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якісний склад та ефективність роботи педагогічних працівників;</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показник наявності освітніх, методичних і матеріально-технічних ресурсів для забезпечення якісного освітнього процесу</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1.6. Завдання внутрішньої системи забезпечення якості освіти:</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оновлення методичної бази освітньої діяльності;</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контроль за виконанням навчальних планів та освітньої програми, якістю знань, умінь і навичок учнів, розробка рекомендацій щодо їх покращення;</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моніторинг та оптимізація соціально-психологічного середовища закладу освіти;</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створення необхідних умов для підвищення фахового кваліфікаційного рівня педагогічних працівників.</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 Стратегія та процедура забезпечення якості освіти</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Стратегія та процедура забезпечення якості освіти базується на наступних принципах:</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принцип процесного підходу, що розглядає діяльність закладу як сукупність освітніх процесів, які спрямовані на реалізацію визначених закладом стратегічних цілей, при цьому управління якістю освітніх послуг реалізується через функції планування, організації, мотивації та контролю;</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принцип цілісності, який вимагає єдності впливів освітньої діяльності, їх підпорядкованості, визначеній меті якості освітнього процесу;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принцип розвитку, що виходить з необхідності вдосконалення якості освітнього процесу відповідно до зміни внутрішнього та зовнішнього середовища, аналізу даних та інформації про результативність освітньої діяльності;</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принцип партнерства, що враховує взаємозалежність та взаємну зацікавленість суб’єктів освітнього процесу, відповідно до їх поточних та майбутніх потреб у досягненні високої якості освітнього процесу</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відповідності Державним стандартам загальної середньої освіти;</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відповідальності за забезпечення якості освіти та якості освітньої діяльності;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системності в управлінні якістю на всіх стадіях освітнього процесу;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здійснення обґрунтованого моніторингу якості освіти;</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готовності суб’єктів освітньої діяльності до ефективних змін;</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відкритості інформації на всіх етапах забезпечення якості та прозорості процедур системи забезпечення якості освітньої діяльності. </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Стратегія (політика) та процедури забезпечення якості освіти передбачають здійснення таких процедур і заходів:</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удосконалення планування освітньої діяльності;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підвищення якості знань здобувачів освіти;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посилення кадрового потенціалу закладу освіти та підвищення кваліфікації педагогічних працівників;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забезпечення наявності необхідних ресурсів для організації освітнього процесу та підтримки здобувачів освіти; </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розвиток інформаційних систем з метою підвищення ефективності управління освітнім процесом; </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забезпечення публічності інформації про діяльність закладу;</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створення системи запобігання та виявлення академічної недоброчесності в діяльності педагогічних працівників та здобувачів освіти.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 Основними напрямками політики із забезпечення якості освітньої діяльності в закладі освіти є:</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якість освіти;</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рівень професійної компетентності педагогічних працівників і забезпечення їх вмотивованості до підвищення якості освітньої діяльності;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якість реалізації освітніх програм, вдосконалення змісту, форм та методів освітньої діяльності та підвищення рівня об’єктивності оцінювання.</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  Механізм функціонування системи забезпечення якості освіти в Ніжинській ЗОШ І-ІІІ ступенів №7 включає послідовну підготовку та практичну реалізацію наступних етапів управління:</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планування (аналіз сучасного стану освітньої діяльності та освітнього процесу; визначення сильних сторін і проблем у розвитку; визначення пріоритетних цілей та розробка планів їх реалізації);</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організацію (переформатування/створення організаційної структури для досягнення поставлених цілей; визначення, розподіл та розмежування повноважень із метою координування та взаємодії у процесі виконання завдань);</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контроль (розробка процедур вимірювання та зіставлення отриманих результатів зі стандартами);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коригування (визначення та реалізація необхідних дій та заходів, націлених на стимулювання процесу досягнення максимальної відповідності стандартам).</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 Система та механізми забезпечення академічної доброчесності</w:t>
      </w: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tab/>
        <w:t xml:space="preserve">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Педагогічний колектив і здобувачі освіти Ніжинської ЗОШ І-ІІІ ступенів №7 неухильно дотримуються Положення про академічну доброчесність.</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 Забезпечення безпечного,  комфортного та мотивуючого освітнього середовища.</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Однією з важливих умов для освітнього процесу є безпечне та комфортне освітнє середовище.</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Необхідною умовою для здійснення якісного освітнього процесу є наявність у закладі необхідних приміщень та засобів навчання. У закладі наявна оптимальна кількість приміщень та їх площі визначаються проектною потужністю закладу.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4.1.Забезпечення комфортного середовища у закладі  включає в себе:</w:t>
      </w:r>
    </w:p>
    <w:p w:rsidR="00000000" w:rsidDel="00000000" w:rsidP="00000000" w:rsidRDefault="00000000" w:rsidRPr="00000000" w14:paraId="0000004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навчальні (навчальні кабінети (лабораторії) з лаборантськими, майстерні);</w:t>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фізкультурно-спортивні;</w:t>
      </w:r>
    </w:p>
    <w:p w:rsidR="00000000" w:rsidDel="00000000" w:rsidP="00000000" w:rsidRDefault="00000000" w:rsidRPr="00000000" w14:paraId="0000004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актову залу;</w:t>
      </w:r>
    </w:p>
    <w:p w:rsidR="00000000" w:rsidDel="00000000" w:rsidP="00000000" w:rsidRDefault="00000000" w:rsidRPr="00000000" w14:paraId="0000004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бібліотеку;</w:t>
      </w:r>
    </w:p>
    <w:p w:rsidR="00000000" w:rsidDel="00000000" w:rsidP="00000000" w:rsidRDefault="00000000" w:rsidRPr="00000000" w14:paraId="0000004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приміщення для харчування;</w:t>
      </w:r>
    </w:p>
    <w:p w:rsidR="00000000" w:rsidDel="00000000" w:rsidP="00000000" w:rsidRDefault="00000000" w:rsidRPr="00000000" w14:paraId="0000004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адміністративні;</w:t>
      </w:r>
    </w:p>
    <w:p w:rsidR="00000000" w:rsidDel="00000000" w:rsidP="00000000" w:rsidRDefault="00000000" w:rsidRPr="00000000" w14:paraId="0000004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спеціалізовані (медіатека, ресурсна кімната, кабінети психолога, соціального педагога, логопеда, методичні кабінети тощо);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допоміжні та підсобні (вестибюль, рекреації, гардероби, санвузли).</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2"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4.2.</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необхідними ресурсми освітнього процесу в школі має відповідати вимогам:</w:t>
      </w:r>
    </w:p>
    <w:p w:rsidR="00000000" w:rsidDel="00000000" w:rsidP="00000000" w:rsidRDefault="00000000" w:rsidRPr="00000000" w14:paraId="0000004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навчальні кабінети необхідно обладнувати з урахуванням санітарно-гігієнічних вимог та вимог охорони праці і безпеки життєдіяльності (особливо стосується лабораторій та лаборантських приміщень, спортивної зали);</w:t>
      </w:r>
    </w:p>
    <w:p w:rsidR="00000000" w:rsidDel="00000000" w:rsidP="00000000" w:rsidRDefault="00000000" w:rsidRPr="00000000" w14:paraId="0000004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забезпечення формування ключових компетентностей (зокрема, здатності спілкуватися іноземними мовами, інформаційно-комунікаційної), компетентностей у галузі природничих наук, техніки і технологій важливо забезпечити відповідне обладнання для лабораторій, кабінетів інформатики.</w:t>
      </w:r>
    </w:p>
    <w:p w:rsidR="00000000" w:rsidDel="00000000" w:rsidP="00000000" w:rsidRDefault="00000000" w:rsidRPr="00000000" w14:paraId="0000004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62"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кабінети початкової школи мають бути забезпечені наочно-дидактичним матеріалом – демонстраційним та для індивідуальної/ групової роботи учнів, який виготовлений з безпечних та якісних матеріалів.</w:t>
      </w:r>
    </w:p>
    <w:p w:rsidR="00000000" w:rsidDel="00000000" w:rsidP="00000000" w:rsidRDefault="00000000" w:rsidRPr="00000000" w14:paraId="0000004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освітнього процесу достатньою кількістю комп’ютерної техніки, сучасними рішеннями в галузі інформаційних технологій, створено умови доступу до Інтернет, діє WiFi мережа;</w:t>
      </w:r>
    </w:p>
    <w:p w:rsidR="00000000" w:rsidDel="00000000" w:rsidP="00000000" w:rsidRDefault="00000000" w:rsidRPr="00000000" w14:paraId="0000004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освітнього процесу навчальною, методичною та науковою літературою на паперових та електронних носіях; </w:t>
      </w:r>
    </w:p>
    <w:p w:rsidR="00000000" w:rsidDel="00000000" w:rsidP="00000000" w:rsidRDefault="00000000" w:rsidRPr="00000000" w14:paraId="0000005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друкованими підручниками та посібниками здобувачів освіти у повному обсязі;</w:t>
      </w:r>
    </w:p>
    <w:p w:rsidR="00000000" w:rsidDel="00000000" w:rsidP="00000000" w:rsidRDefault="00000000" w:rsidRPr="00000000" w14:paraId="0000005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запровадження електронного ресурсу, який містить навчально-методичні матеріали;</w:t>
      </w:r>
    </w:p>
    <w:p w:rsidR="00000000" w:rsidDel="00000000" w:rsidP="00000000" w:rsidRDefault="00000000" w:rsidRPr="00000000" w14:paraId="0000005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моніторинг ефективності використання фінансових ресурсів;</w:t>
      </w:r>
    </w:p>
    <w:p w:rsidR="00000000" w:rsidDel="00000000" w:rsidP="00000000" w:rsidRDefault="00000000" w:rsidRPr="00000000" w14:paraId="0000005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813"/>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інформування учнів про наявність послуг.</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5. Критерії, правила і процедури оцінювання здобувачів освіти.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t xml:space="preserve">Оцінювання результатів навчання здобувачів освіти здійснюється відповідно до: </w:t>
        <w:br w:type="textWrapping"/>
        <w:t xml:space="preserve">- Орієнтовних вимог до контролю та оцінювання навчальних досягнень учнів початкової школи, затверджених наказом Міністерства освіти і науки України від 19 серпня 2016 року № 1009; </w:t>
        <w:br w:type="textWrapping"/>
        <w:t xml:space="preserve">- Критеріїв оцінювання навчальних досягнень учнів (вихованців) у системі загальної середньої освіти, затверджених наказом МОНмолодьспорт від 13.04.2011 року № 329.</w:t>
        <w:br w:type="textWrapping"/>
        <w:t xml:space="preserve"> Критерії оцінювання навчальних досягнень реалізуються в нормах оцінок, які встановлюють чітке співвідношення між вимогами до знань, умінь і навичок, які оцінюються, та показником оцінки в балах. </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Відповідно до Концепції Нової української школи компетентнісна освіта зорієнтована на практичні результати, досвід особистої діяльності, вироблення ставлень, що зумовлює принципові зміни в організації навчання, яке стає спрямованим на розвиток конкретних цінностей і життєво необхідних знань і умінь учнів. У контексті цього змінюються і підходи до оцінювання результату освітньої діяльності здобувачів освіти як складової освітнього процесу. Оцінювання має ґрунтуватися на позитивному принципі, що передусім передбачає врахування рівня досягнень учня. Результати освітньої діяльності учнів на всіх етапах освітнього процесу не можуть обмежуватися знаннями, уміннями, навичками. Метою навчання мають бути сформовані компетентності, як загальна здатність, що базується на знаннях, досвіді та цінностях особистості. Вимоги до обов’язкових результатів навчання визначаються з урахуванням компетентнісного підходу до навчання, в основу якого покладено ключові компетентності. До ключових компетентностей належать: </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здатність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 </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 </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 </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Основними функціями оцінювання навчальних досягнень учнів є:</w:t>
      </w: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контролююча - визначає рівень досягнень кожного учня (учениці), готовність до засвоєння нового матеріалу, що дає змогу вчителеві відповідно планувати й викладати навчальний матеріал;</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навчальна - сприяє повторенню, уточненню й поглибленню знань, їх систематизації, вдосконаленню умінь та навичок;</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діагностико-коригувальна - з'ясовує причини труднощів, які виникають в учня (учениці) в процесі навчання; виявляє прогалини у засвоєному, вносить корективи, спрямовані на їх усунення;</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стимулювально-мотиваційна - формує позитивні мотиви навчання;</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виховна - сприяє формуванню умінь відповідально й зосереджено працювати, застосовувати прийоми контролю й самоконтролю, рефлексії навчальної діяльності.  </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При оцінюванні навчальних досягнень учнів мають ураховуватися:</w:t>
      </w: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характеристики відповіді учня: правильність, логічність, обґрунтованість, цілісність;</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якість знань: повнота, глибина, гнучкість, системність, міцність; </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сформованість предметних умінь і навичок; - рівень володіння розумовими операціями: вміння аналізувати, синтезувати, порівнювати, абстрагувати, класифікувати, узагальнювати, робити висновки тощо;</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досвід творчої діяльності (вміння виявляти проблеми та розв'язувати їх, формулювати гіпотези);</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самостійність оцінних суджень. </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Характеристики якості знань взаємопов'язані між собою і доповнюють одна одну. Глибина знань - усвідомленість існуючих зв'язків між групами знань. Гнучкість знань - уміння учнів застосовувати набуті знання у стандартних і нестандартних ситуаціях; знаходити варіативні способи використання знань; уміння комбінувати новий спосіб діяльності із вже відомих. Міцність знань - тривалість збереження їх в пам'яті, відтворення їх в необхідних ситуаціях. Повнота знань - кількість знань, визначених навчальною програмою. Системність знань - усвідомлення структури знань, їх ієрархії і послідовності, тобто усвідомлення одних знань як базових для інших. Знання є складовою умінь учнів діяти. Уміння виявляються в різних видах діяльності і поділяються на розумові і практичні. Навички - дії доведені до автоматизму в результаті виконання вправ. Для сформованих навичок характерні швидкість і точність відтворення. Ціннісні ставлення виражають особистий досвід учнів, їх дії, переживання, почуття, які виявляються у відносинах до оточуючого (людей, явищ, природи, пізнання тощо). У контексті компетентнісної освіти це виявляється у відповідальності учнів, прагненні закріплювати позитивні надбання в освітній діяльності, зростанні вимог до свої навчальних досягнень. Названі вище орієнтири покладено в основу чотирьох рівнів навчальних досягнень учнів: початкового, середнього, достатнього, високого.  Вони визначаються за такими характеристиками: </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Перший рівень - початковий. Відповідь учня (учениці) фрагментарна, характеризується початковими уявленнями про предмет вивчення.</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Другий рівень - середній. Учень (учениця) відтворює основний навчальний матеріал, виконує завдання за зразком, володіє елементарними вміннями навчальної діяльності. </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Третій рівень - достатній. Учень (учениця) знає істотні ознаки понять, явищ, зв'язки між ними, вміє пояснити основні закономірності, а також самостійно застосовує знання в стандартних ситуаціях, володіє розумовими операціями (аналізом, абстрагуванням, узагальненням тощо), вміє робити висновки, виправляти допущені помилки. Відповідь учня (учениця) правильна, логічна, обґрунтована, хоча їм бракує власних суджень. </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Четвертий рівень - високий. Знання учня (учениці) є глибокими, міцними, системними; учень (учениця) вміє застосовувати їх для виконання творчих завдань, його (її) навчальна діяльність позначена вмінням самостійно оцінювати різноманітні ситуації, явища, факти, виявляти і відстоювати особисту позицію.</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Водночас, визначення високого рівня навчальних досягнень, зокрема оцінки 12 балів, передбачає знання та уміння в межах навчальної програми і не передбачає участі школярів у олімпіадах, творчих конкурсах тощо. Кожний наступний рівень вимог вбирає в себе вимоги до попереднього, а також додає нові характеристики. Критерії оцінювання навчальних досягнень реалізуються в нормах оцінок, які встановлюють чітке співвідношення між вимогами до знань, умінь і навичок, які оцінюються, та показником оцінки в балах.</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Оцінювання учнів 1-4- их класів.</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Навчальні досягнення здобувачів у 1-2 класах підлягають вербальному, формувальному оцінюванню, у 3-4 - формувальному та підсумковому (бальному) оцінюванню. Формувальне оцінювання учнів 1 класу проводиться відповідно до Методичних рекомендацій щодо формувального оцінювання учнів 1 класу (листи МОН від 18.05.2018 №2.2-1250 та від 21.05.2018 №2.2-1255) Формувальне оцінювання має на меті: підтримати навчальний розвиток дітей; вибудовувати індивідуальну траєкторію їхнього розвитку; діагностувати досягнення на кожному з етапів процесу навчання; вчасно виявляти проблеми й 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 мотивувати прагнення здобути максимально можливі результати; виховувати ціннісні якості особистості, бажання навчатися, не боятися помилок, переконання у власних можливостях і здібностях. Підсумкова перевірка у 1 класі передбачає підсумкові контрольні роботи у кінці навчального року (контрольне списування, комбінована контрольна робота з математики та індивідуальна перевірка навички читання вголос і розуміння прочитаного). </w:t>
        <w:br w:type="textWrapping"/>
        <w:t xml:space="preserve">Підсумкова перевірка у 2-3 класах передбачає тематичну перевірку, у 4 класі – тематичну перевірку та ДПА у вигляді підсумкових контрольних робіт в кінці навчальногороку. </w:t>
        <w:br w:type="textWrapping"/>
        <w:t xml:space="preserve"> Підсумкове оцінювання передбачає зіставлення навчальних досягнень здобувачів з конкретними очікуваними результатами навчання, визначеними освітньою програмою. Здобувачі початкової освіти проходять державну підсумкову  атестацію, яка здійснюється лише з метою моніторингу якості освітньої діяльності закладів освіти та (або) якості освіти. З метою неперервного відстеження результатів початкової освіти, їх прогнозування та коригування можуть проводитися моніторингові дослідження навчальних досягнень на національному, обласному, районному, шкільному рівнях, а також на рівні окремих класів. Аналіз результатів моніторингу дає можливість відстежувати стан реалізації цілей початкової освіти та вчасно приймати необхідні педагогічні рішення. Оприлюднення результатів контролю здійснюється відповідно до вищезазначених нормативних документів.  Навчальні досягнення учнів 3-11 класів оцінюються відповідно критеріїв оцінювання навчальних досягнень учнів затвердженого наказом Міністерства освіти і науки, молота та спорту від 13.04.2011 р. №323 «Про затвердження Критеріїв оцінювання навчальних досягнень учнів (вихованців) у системі загальної середньої освіти» зареєстрований в Міністерстві юстиції України 11 травня 2011 р. за №566/19304.</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КРИТЕРІЇ оцінювання навчальних досягнень учнів 3-4 класів початкової школи</w:t>
      </w:r>
    </w:p>
    <w:tbl>
      <w:tblPr>
        <w:tblStyle w:val="Table1"/>
        <w:tblW w:w="9679.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9"/>
        <w:gridCol w:w="791"/>
        <w:gridCol w:w="6079"/>
        <w:tblGridChange w:id="0">
          <w:tblGrid>
            <w:gridCol w:w="2809"/>
            <w:gridCol w:w="791"/>
            <w:gridCol w:w="6079"/>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Рівні навчальних досягнень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Бали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Загальні критерії оцінювання навчальних досягнень учнів</w:t>
            </w:r>
          </w:p>
        </w:tc>
      </w:tr>
      <w:t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Початковий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Учні засвоїли знання у формі окремих фактів, елементарних уявлень</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відтворюють незначну частину навчального матеріалу, володіють окремими видами умінь на рівні виконання певної навчальної копіювання зразка дії</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28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відтворюють незначну частину навчального матеріалу; з допомогою вчителя виконують елементарні завдання, потребують детального кількаразового їх пояснення</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Середній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відтворюють частину навчального матеріалу у формі понять з допомогою вчителя, можуть повторити за зразком певну операцію, дію</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відтворюють основний навчальний матеріал з допомогою вчителя, здатні з помилками й неточностями дати визначення понять</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будують відповідь у засвоєній послідовності; виконують дії за зразком у подібній ситуації; самостійно працюють зі значною допомогою вчителя</w:t>
            </w:r>
          </w:p>
        </w:tc>
      </w:tr>
      <w:t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Достатній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володіють поняттями, відтворюють їх зміст, уміють наводити окремі власні приклади на підтвердження певних думок, частково контролюють власні навчальні дії  </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 Учні вміють розпізнавати об'єкти, які визначаються засвоєними поняттями; під час відповіді можуть відтворити засвоєний зміст в іншій послідовності, не змінюючи логічних зв'язків; володіють вміннями на рівні застосування способу діяльності за аналогією; самостійні роботи виконують з незначною допомогою вчителя; відповідають логічно з окремими неточностями</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28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добре володіють вивченим матеріалом, застосовують знання в стандартних ситуаціях, володіють вміннями виконувати окремі етапи розв'язання проблеми і застосовують їх у співробітництві з учителем (частково-пошукова діяльність)</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Високий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Учні володіють системою понять у межах, визначених навчальними програмами, встановлюють як внутрішньопонятійні, так і міжпонятійні зв'язки; вміють розпізнавати об'єкти, які охоплюються засвоєними поняттями різного рівня узагальнення; відповідь аргументують новими прикладами</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мають гнучкі знання в межах вимог навчальних програм, вміють застосовувати способи діяльності за аналогією і в нових ситуаціях</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мають системні, міцні знання в обсязі та в межах вимог навчальних програм, усвідомлено використовують їх у стандартних та нестандартних ситуаціях; самостійні роботи виконують під опосередкованим керівництвом; виконують творчі завдання КРИТЕРІЇ</w:t>
            </w:r>
          </w:p>
        </w:tc>
      </w:tr>
    </w:tbl>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765"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КРИТЕРІЇ оцінювання навчальних досягнень учнів основної й старшої школи  </w:t>
      </w:r>
    </w:p>
    <w:tbl>
      <w:tblPr>
        <w:tblStyle w:val="Table2"/>
        <w:tblW w:w="9826.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6"/>
        <w:gridCol w:w="850"/>
        <w:gridCol w:w="6140"/>
        <w:tblGridChange w:id="0">
          <w:tblGrid>
            <w:gridCol w:w="2836"/>
            <w:gridCol w:w="850"/>
            <w:gridCol w:w="6140"/>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Рівні навчальних досягнень</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Бали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Загальні критерії оцінювання навчальних досягнень учнів</w:t>
            </w:r>
          </w:p>
        </w:tc>
      </w:tr>
      <w:t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Початковий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розрізняють об'єкти вивчення</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Учні відтворюють незначну частину навчального матеріалу, мають нечіткі уявлення про об'єкт вивчення</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відтворюють частину навчального матеріалу; з допомогою вчителя виконують елементарні завдання</w:t>
            </w:r>
          </w:p>
        </w:tc>
      </w:tr>
      <w:t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Середній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з допомогою вчителя відтворюють основний навчальний матеріал, можуть повторити за зразком певну операцію, дію</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відтворюють основний навчальний матеріал, здатні з помилками й неточностями дати визначення понять, сформулювати правило</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Учні виявляють знання й розуміння основних положень навчального матеріалу. Відповіді їх правильні, але недостатньо осмислені. Вміють застосовувати знання при виконанні завдань за зразком</w:t>
            </w:r>
          </w:p>
        </w:tc>
      </w:tr>
      <w:t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Достатній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правильно відтворюють навчальний матеріал, знають основоположні теорії і факти, вміють наводити окремі власні приклади на підтвердження певних думок, частково контролюють власні навчальні дії</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Знання учнів є достатніми. Учні застосовують вивчений матеріал у стандартних ситуаціях, намагаються аналізувати, встановлювати найсуттєвіші зв'язки і залежність між явищами, фактами, робити висновки, загалом контролюють власну діяльність. Відповіді їх логічні, хоч і мають неточності</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добре володіють вивченим матеріалом, застосовують знання в стандартних ситуаціях, уміють аналізувати й систематизувати інформацію, використовують загальновідомі докази із самостійною і правильною аргументацією</w:t>
            </w:r>
          </w:p>
        </w:tc>
      </w:tr>
      <w:t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Високий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мають повні, глибокі знання, здатні використовувати їх у практичній діяльності, робити висновки, узагальнення</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 Учні мають гнучкі знання в межах вимог навчальних програм, аргументовано використовують їх проблеми</w:t>
            </w:r>
          </w:p>
        </w:tc>
      </w:tr>
      <w:t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Учні мають системні, міцні знання в обсязі та в межах вимог навчальних програм, усвідомлено використовують їх у стандартних та нестандартних ситуаціях. Уміють самостійно аналізувати, оцінювати, узагальнювати опанований матеріал, самостійно користуватися джерелами інформації, приймати рішення</w:t>
            </w:r>
          </w:p>
        </w:tc>
      </w:tr>
    </w:tbl>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Видами оцінювання навчальних досягнень учнів є поточне, тематичне, семестрове, річне оцінювання та державна підсумкова атестація. Форми проведення видів контролю, їх кількість визначається робочою програмою та календарно-тематичнимми планами вчителів. Поточне оцінювання - це процес встановлення рівня навчальних досягнень учня (учениці) в оволодінні змістом предмета, уміннями та навичками відповідно до вимог навчальних програм. Об'єктом поточного оцінювання рівня навчальних досягнень учнів є знання, вміння та навички, самостійність оцінних суджень, досвід творчої  діяльності та емоційно-ціннісного ставлення до навколишньої дійсності. Поточне оцінювання здійснюється у процесі вивчення теми. Його основними завдання є: встановлення й оцінювання рівнів розуміння і первинного засвоєння окремих елементів змісту теми, встановлення зв'язків між ними та засвоєним змістом попередніх тем, закріплення знань, умінь і навичок. Формами поточного оцінювання є індивідуальне, групове та фронтальне опитування; робота з діаграмами, графіками, схемами; робота з контурними картами; виконання учнями різних видів письмових робіт; взаємоконтроль учнів у парах і групах; самоконтроль тощо. В умовах упровадження зовнішнього незалежного оцінювання особливого значення набуває тестова форма контролю та оцінювання навчальних досягнень учнів. Інформація, отримана на підставі поточного контролю, є основною для коригування роботи вчителя на уроці. Тематичному оцінюванню навчальних досягнень підлягають основні результати вивчення теми (розділу). Тематичне оцінювання навчальних досягнень учнів забезпечує: - усунення безсистемності в оцінюванні; - підвищення об'єктивності оцінки знань, навичок і вмінь; - індивідуальний та диференційований підхід до організації навчання; - систематизацію й узагальнення навчального матеріалу; - концентрацію уваги учнів до найсуттєвішого в системі знань з кожного предмета. Тематична оцінка виставляється на підставі результатів опанування учнями матеріалу теми впродовж її вивчення з урахуванням поточних оцінок, різних видів навчальних робіт (практичних, лабораторних, самостійних, творчих, контрольних робіт) та навчальної активності школярів. Перед початком вивчення чергової теми всі учні мають бути ознайомлені з тривалістю вивчення теми (кількість занять); кількістю й тематикою обов'язкових робіт і термінами їх проведення; умовами оцінювання. Оцінка за семестр виставляється за результатами тематичного оцінювання, а за рік - на основі семестрових оцінок. Учень (учениця) має право на підвищення семестрової оцінки. При цьому потрібно мати на увазі, що відповідно до Положення про золоту медаль "За високі досягнення в навчанні" та срібну медаль "За досягнення в навчанні", затвердженого наказом Міністерства освіти і науки України від 17.03.08 № 186 та погоджено Міністерством юстиції України № 279/14970 від 02.04.08, підвищення результатів семестрового оцінювання шляхом переатестації не дає підстав для нагородження випускників золотою або срібною медалями. </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6. Критерії, правила і процедури оцінювання педагогічної діяльності педагогічних працівників</w:t>
      </w:r>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Внутрішня система забезпечення якості освіти та якості освітньої діяльності в  Ніжинській ЗОШ І-ІІІ ступенів №7 передбачає підвищення якості професійної підготовки фахівців відповідно до очікувань суспільства. </w:t>
        <w:br w:type="textWrapping"/>
        <w:t xml:space="preserve"> Вимоги до педагогічних працівників Ніжинської ЗОШ І-ІІІ ступенів №7 встановлюються у відповідності до розділу VІІ Закону України «Про освіту» від 05.09.2017 року №2143-ѴІІІ, чинного з 28.09.2017 року. </w:t>
        <w:br w:type="textWrapping"/>
        <w:t xml:space="preserve">Процедура призначення на посаду педагогічних працівників регулюється чинним законодавством (обрання за конкурсом, укладення трудових договорів) відповідно до встановлених вимог (ст. 24 Закону «Про загальну середню освіту»). </w:t>
        <w:br w:type="textWrapping"/>
        <w:t xml:space="preserve">Основними критеріями оцінювання педагогічної діяльності педагогічних працівників у Ніжинській ЗОШ І-ІІІ ступенів №7 є: </w:t>
        <w:br w:type="textWrapping"/>
        <w:t xml:space="preserve">- стан забезпечення кадрами відповідно до фахової освіти; </w:t>
        <w:br w:type="textWrapping"/>
        <w:t xml:space="preserve">- освітній рівень педагогічних працівників; </w:t>
        <w:br w:type="textWrapping"/>
        <w:t xml:space="preserve">- результати атестації; </w:t>
        <w:br w:type="textWrapping"/>
        <w:t xml:space="preserve">- систематичність підвищення кваліфікації; </w:t>
        <w:br w:type="textWrapping"/>
        <w:t xml:space="preserve">- наявність педагогічних звань, почесних нагород; </w:t>
        <w:br w:type="textWrapping"/>
        <w:t xml:space="preserve">- наявність авторських програм, посібників, методичних рекомендацій, статей тощо; </w:t>
        <w:br w:type="textWrapping"/>
        <w:t xml:space="preserve">- участь в експериментальній діяльності; </w:t>
        <w:br w:type="textWrapping"/>
        <w:t xml:space="preserve">- результати освітньої діяльності; </w:t>
        <w:br w:type="textWrapping"/>
        <w:t xml:space="preserve">- оптимальність розподілу педагогічного навантаження; </w:t>
        <w:br w:type="textWrapping"/>
        <w:t xml:space="preserve">- показник плинності кадрів. </w:t>
        <w:br w:type="textWrapping"/>
        <w:t xml:space="preserve">З метою вдосконалення професійної підготовки педагогів Ніжинської  ЗОШ І-ІІІ ступенів №7 шляхом поглиблення, розширення й оновлення професійних компетентностей організовується підвищення кваліфікації педагогічних працівників. </w:t>
        <w:br w:type="textWrapping"/>
        <w:t xml:space="preserve">Щорічне підвищення кваліфікації педагогічних працівників здійснюється відповідно до статті 59 Закону України "Про освіту". </w:t>
        <w:br w:type="textWrapping"/>
        <w:t xml:space="preserve">Воно  здійснюється за такими видами: </w:t>
        <w:br w:type="textWrapping"/>
        <w:t xml:space="preserve">- довгострокове підвищення кваліфікації: курси; </w:t>
        <w:br w:type="textWrapping"/>
        <w:t xml:space="preserve">- короткострокове підвищення кваліфікації: семінари, семінари-практикуми, тренінги, конференції, «круглі столи» тощо. </w:t>
        <w:br w:type="textWrapping"/>
        <w:t xml:space="preserve">Щорічний план підвищення кваліфікації педагогічних працівників затверджує педагогічна рада закладу. </w:t>
        <w:br w:type="textWrapping"/>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7. Критерії, правила і процедури оцінювання управлінської діяльності керівних працівників закладу освіти</w:t>
      </w:r>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Внутрішня система забезпечення якості освіти та якості освітньої діяльності  в Ніжинській ЗОШ І-ІІІ ступенів №7 визначає стратегію управління в закладі освіти, напрямки ефективних змін та розвитку освітньої системи. </w:t>
        <w:br w:type="textWrapping"/>
        <w:t xml:space="preserve">Для  формування Політики та Цілей у сфері якості (на перспективу, навчальний рік тощо) та з метою інформаційного забезпечення управління та прийняття оптимальних управлінських рішень щодо підвищення ефективності функціонування усіх складових освітнього процесу, їхній взаємодії для досягнення очікуваних й запланованих результатів, а також інноваційного розвитку закладу освіти  застосовується моніторинг якості освітнього процесу в закладі освіти як система збору, обробки, збереження та розповсюдження інформації про стан освітнього процесу чи окремих його елементів.</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Управління процесом забезпечення якості освіти в Ніжинській ЗОШ І-ІІІ ступенів №7 забезпечується внутрішніми нормативно-правовими документами (статут, положення, рішення, накази тощо), що визначають зміст внутрішньої системи забезпечення якості освіти та механізми її забезпечення. </w:t>
        <w:br w:type="textWrapping"/>
        <w:t xml:space="preserve">Процедура управління процесом забезпечення якості освіти в Ніжинській ЗОШ І-ІІІ ступенів №7 включає: </w:t>
        <w:br w:type="textWrapping"/>
        <w:t xml:space="preserve">- ухвалення рішення про початок формування системи внутрішнього забезпечення якості освіти та якості освітньої діяльності; </w:t>
        <w:br w:type="textWrapping"/>
        <w:t xml:space="preserve">- призначення відповідальних за розробку, впровадження та функціонування внутрішньої системи забезпечення якості освіти; </w:t>
        <w:br w:type="textWrapping"/>
        <w:t xml:space="preserve">- навчання педпрацівників правилам і процедурам впровадження внутрішньої системи забезпечення якості освіти; </w:t>
        <w:br w:type="textWrapping"/>
        <w:t xml:space="preserve">- формування та підготовка аналітичної групи з визначення ефективності впровадження та функціонування внутрішньої системи забезпечення якості освіти на окремих етапах та у цілому;  </w:t>
        <w:br w:type="textWrapping"/>
        <w:t xml:space="preserve">- розробка процедур для визначених процесів (дій, заходів) (внутрішні нормативні основи закладу освіти); </w:t>
        <w:br w:type="textWrapping"/>
        <w:t xml:space="preserve">- визначення та розвиток системи моніторингу якості в закладі; </w:t>
        <w:br w:type="textWrapping"/>
        <w:t xml:space="preserve">- удосконалення системи аналізу та прийняття підсумкових рішень. </w:t>
        <w:br w:type="textWrapping"/>
        <w:t xml:space="preserve">Відповідальними за впровадження та вдосконалення системи забезпечення якості освіти та якості освітньої діяльності в Ніжинській ЗОШ І-ІІІ ступенів №7 є директор,  заступники директора з навчально-виховної та виховної роботи, педагогічні працівники, методичні об’єднання, педагогічна рада закладу освіти.  </w:t>
        <w:br w:type="textWrapping"/>
        <w:t xml:space="preserve">З метою позитивного впливу на якість освіти необхідним є організаційний компонент у процесі формування внутрішньої системи, а саме: </w:t>
        <w:br w:type="textWrapping"/>
        <w:t xml:space="preserve">▪ виокремлення в структурі закладу освіти осіб, що беруть участь у процесі управління якістю освіти (завуч, координатор програм, керівник методоб’єднання); </w:t>
        <w:br w:type="textWrapping"/>
        <w:t xml:space="preserve">▪ проведення заходів щодо навчання адміністративних та педагогічних працівників школи навичкам роботи для забезпечення якості освітнього процесу, підвищення оцінної культури педагогів;  </w:t>
        <w:br w:type="textWrapping"/>
        <w:t xml:space="preserve">▪ розширення зв'язків закладу освіти з іншими освітніми установами, науковими організаціями, що спеціалізуються на вирішенні проблем управління якістю освіти. </w:t>
        <w:br w:type="textWrapping"/>
        <w:t xml:space="preserve">Критерії ефективності управлінської діяльності в Ніжинській ЗОШ І-ІІІ ступенів №7 щодо забезпечення функціонування внутрішньої системи забезпечення якості освіти: </w:t>
        <w:br w:type="textWrapping"/>
        <w:t xml:space="preserve">- наявність нормативних документів, де закріплені вимоги до  якості освітнього процесу (модель випускника, освітня програма); </w:t>
        <w:br w:type="textWrapping"/>
        <w:t xml:space="preserve">- оптимальність та дієвість управлінських рішень; </w:t>
        <w:br w:type="textWrapping"/>
        <w:t xml:space="preserve">- керованість процесу управління забезпеченням функціонування внутрішньої системи забезпечення якості освіти (наявність посадових осіб, які відповідають за управління якістю освітнього процесу); </w:t>
        <w:br w:type="textWrapping"/>
        <w:t xml:space="preserve">- формування освітньої програми закладу освіти (раціональність використання інваріантної, варіативної складової); </w:t>
        <w:br w:type="textWrapping"/>
        <w:t xml:space="preserve">- підвищення показника відповідності засвоєних здобувачами освіти рівня та обсягу знань, умінь, навичок, інших компетентностей вимогам стандартів освіти; </w:t>
        <w:br w:type="textWrapping"/>
        <w:t xml:space="preserve">- аналіз на основі кореляція показників успішності з результатами державної підсумкової атестації, зовнішнього незалежного оцінювання; </w:t>
        <w:br w:type="textWrapping"/>
        <w:t xml:space="preserve">- наявність та ефективність системи моральних стимулів для досягнення високого рівня якості освітнього процесу. </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8. </w:t>
      </w: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Розбудова внутрішньої системи забезпечення якості освіти Ніжинської ЗОШ І-ІІІ ступенів №7 Ніжинської міської ради</w:t>
      </w: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Напрям 1. Освітнє середовище закладу освіти</w:t>
      </w: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360" w:right="0" w:hanging="36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1.1.Забезпечення комфортних і безпечних умов навчання та праці</w:t>
      </w:r>
      <w:r w:rsidDel="00000000" w:rsidR="00000000" w:rsidRPr="00000000">
        <w:rPr>
          <w:rtl w:val="0"/>
        </w:rPr>
      </w:r>
    </w:p>
    <w:tbl>
      <w:tblPr>
        <w:tblStyle w:val="Table3"/>
        <w:tblW w:w="9669.0" w:type="dxa"/>
        <w:jc w:val="left"/>
        <w:tblInd w:w="100.0" w:type="pct"/>
        <w:tblLayout w:type="fixed"/>
        <w:tblLook w:val="0000"/>
      </w:tblPr>
      <w:tblGrid>
        <w:gridCol w:w="552"/>
        <w:gridCol w:w="4275"/>
        <w:gridCol w:w="987"/>
        <w:gridCol w:w="1893"/>
        <w:gridCol w:w="1962"/>
        <w:tblGridChange w:id="0">
          <w:tblGrid>
            <w:gridCol w:w="552"/>
            <w:gridCol w:w="4275"/>
            <w:gridCol w:w="987"/>
            <w:gridCol w:w="1893"/>
            <w:gridCol w:w="1962"/>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п/п</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Зміст</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Тер</w:t>
            </w: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мін</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Методи збору інформації</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Відповідаль</w:t>
            </w:r>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ний</w:t>
            </w:r>
            <w:r w:rsidDel="00000000" w:rsidR="00000000" w:rsidRPr="00000000">
              <w:rPr>
                <w:rtl w:val="0"/>
              </w:rPr>
            </w:r>
          </w:p>
        </w:tc>
      </w:tr>
      <w:tr>
        <w:trPr>
          <w:trHeight w:val="75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Безпечне розташування приміщень та облаштування території закладу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w:t>
            </w:r>
          </w:p>
        </w:tc>
      </w:tr>
      <w:tr>
        <w:trPr>
          <w:trHeight w:val="15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комфортного повітряно – теплового режиму, належного освітлення, прибирання приміщень, облаштування та утримання туалетів, дотримання питного режиму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2021-2021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 класні керівники, завгосп</w:t>
            </w:r>
          </w:p>
        </w:tc>
      </w:tr>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раціонального використання приміщень і комплектування мережі класів</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w:t>
            </w:r>
          </w:p>
        </w:tc>
      </w:tr>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забезпечення працівників індивідуальними робочими місцями, та місцями відпочинку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w:t>
            </w:r>
          </w:p>
        </w:tc>
      </w:tr>
      <w:tr>
        <w:trPr>
          <w:trHeight w:val="21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Визначення частки навчальних кабінетів початкових класів, фізики, хімії, біології, інформатики, майстерень, спортивних залів, актової зали та рівень забезпечення засобами навчання відповідно до вимог законодавства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Завідуючі кабінетами, адміністрація</w:t>
            </w:r>
          </w:p>
        </w:tc>
      </w:tr>
      <w:tr>
        <w:trPr>
          <w:trHeight w:val="18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Проведення у закладі інструктажів з охорони праці, безпеки життєдіяльності, пожежної безпеки.</w:t>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Дотримання учасниками освітнього процесу даних вимог</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w:t>
            </w:r>
          </w:p>
        </w:tc>
      </w:tr>
      <w:tr>
        <w:trPr>
          <w:trHeight w:val="21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Проведення інструктажів з питань надання домедичної допомоги, реагування на випадки травмування, або погіршення самопочуття здобувачів освіти. Дії адміністрації та працівників у встановленому законодавством порядку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w:t>
            </w:r>
          </w:p>
        </w:tc>
      </w:tr>
      <w:tr>
        <w:trPr>
          <w:trHeight w:val="207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Харчування у закладі освіти сприяє формуванню культури здорового харчування у здобувачів освіти.</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Визначення частки здобувачів освіти, які задоволені організацією харчування.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 класні керівники</w:t>
            </w:r>
          </w:p>
        </w:tc>
      </w:tr>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умов безпечного використання мережі Інтернет,</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Адміністрація, вчителі інформатики</w:t>
            </w:r>
          </w:p>
        </w:tc>
      </w:tr>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освітнього середовища вільного від будь-яких форм насильства та дискримінації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 директора з НВР</w:t>
            </w:r>
          </w:p>
        </w:tc>
      </w:tr>
      <w:tr>
        <w:trPr>
          <w:trHeight w:val="48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Напрям 2.  Система оцінювання здобувачів освіти</w:t>
      </w: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Наявність відкритої, прозорої і зрозумілої для здобувачів освіти системи оцінювання їх навчальних досягнень</w:t>
      </w:r>
    </w:p>
    <w:tbl>
      <w:tblPr>
        <w:tblStyle w:val="Table4"/>
        <w:tblW w:w="9669.0" w:type="dxa"/>
        <w:jc w:val="left"/>
        <w:tblInd w:w="100.0" w:type="pct"/>
        <w:tblLayout w:type="fixed"/>
        <w:tblLook w:val="0000"/>
      </w:tblPr>
      <w:tblGrid>
        <w:gridCol w:w="590"/>
        <w:gridCol w:w="3381"/>
        <w:gridCol w:w="1053"/>
        <w:gridCol w:w="2235"/>
        <w:gridCol w:w="2410"/>
        <w:tblGridChange w:id="0">
          <w:tblGrid>
            <w:gridCol w:w="590"/>
            <w:gridCol w:w="3381"/>
            <w:gridCol w:w="1053"/>
            <w:gridCol w:w="2235"/>
            <w:gridCol w:w="2410"/>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п/п</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Зміст</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Термін</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 збору інформації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Відповідальний</w:t>
            </w:r>
          </w:p>
        </w:tc>
      </w:tr>
      <w:tr>
        <w:trPr>
          <w:trHeight w:val="534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Розроблення педагогічними працівниками критеріїв оцінювання навчальних досягнень учнів, які ґрунтуються на критеріях, затверджених МОН, а також враховують особливості вивчення теми (обсяг годин на вивчення, кількість обов’язкових робіт), освітню програму закладу освіти, компетентнісний підхід до викладання предмету (курсу), організаційну форму проведення навчального заняття).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керівники методичних об’єднань, педагогічні працівники закладу</w:t>
            </w:r>
          </w:p>
        </w:tc>
      </w:tr>
      <w:tr>
        <w:trPr>
          <w:trHeight w:val="45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Оприлюднення та інформування здобувачів освіти, батьків про критерії оцінювання здобувачів освіти.</w:t>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Інформація про критерії оцінювання повинна бути донесена до учнів у різних формах: в усній формі, шляхом розміщення на інформаційному стенді у класі, через інтерактивну інтернет-платформу, електронну пошту.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(оприлюднені критерії оцінювання).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педагогічний колектив закладу освіти</w:t>
            </w:r>
          </w:p>
        </w:tc>
      </w:tr>
      <w:tr>
        <w:trPr>
          <w:trHeight w:val="129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Застосування системи оцінювання, спрямованої на реалізацію компетентнісного підходу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w:t>
            </w:r>
          </w:p>
        </w:tc>
      </w:tr>
      <w:tr>
        <w:trPr>
          <w:trHeight w:val="183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Моніторинг здобувачів освіти по вивченню питання справедливості і об’єктивності оцінювання результатів навчання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Практичний психолог закладу, Заступники директорки з НВР</w:t>
            </w:r>
          </w:p>
        </w:tc>
      </w:tr>
      <w:tr>
        <w:trPr>
          <w:trHeight w:val="15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Спрямованість системи оцінювання на формування у здобувачів освіти відповідальності за результати навчання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Класні керівники, заступники директора з НВР</w:t>
            </w:r>
          </w:p>
        </w:tc>
      </w:tr>
      <w:tr>
        <w:trPr>
          <w:trHeight w:val="15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на навчальних заняттях системи самооцінювання та взаємооцінювання здобувачів освіти</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w:t>
            </w:r>
          </w:p>
        </w:tc>
      </w:tr>
    </w:tbl>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Застосування внутрішнього моніторингу, що передбачає систематичне відстеження та коригування результатів навчання кожного здобувача освіти</w:t>
      </w:r>
    </w:p>
    <w:tbl>
      <w:tblPr>
        <w:tblStyle w:val="Table5"/>
        <w:tblW w:w="9669.0" w:type="dxa"/>
        <w:jc w:val="left"/>
        <w:tblInd w:w="100.0" w:type="pct"/>
        <w:tblLayout w:type="fixed"/>
        <w:tblLook w:val="0000"/>
      </w:tblPr>
      <w:tblGrid>
        <w:gridCol w:w="588"/>
        <w:gridCol w:w="2993"/>
        <w:gridCol w:w="1347"/>
        <w:gridCol w:w="2440"/>
        <w:gridCol w:w="2301"/>
        <w:tblGridChange w:id="0">
          <w:tblGrid>
            <w:gridCol w:w="588"/>
            <w:gridCol w:w="2993"/>
            <w:gridCol w:w="1347"/>
            <w:gridCol w:w="2440"/>
            <w:gridCol w:w="2301"/>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п/п</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Зміст</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Термін</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 збору інформації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Відповідальний</w:t>
            </w:r>
          </w:p>
        </w:tc>
      </w:tr>
      <w:tr>
        <w:trPr>
          <w:trHeight w:val="37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Розроблення системи внутрішнього моніторингу для виявлення об’єктивного та раціонального підходу до оцінювання навчальних досягнень учнів з боку вчителя, простеження системності в оцінюванні учнів, динаміки їх навчальних досягнень.</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(аналітичні звіти, статистичний аналіз, протоколи засідань педагогічної ради).</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класні керівники</w:t>
            </w:r>
          </w:p>
        </w:tc>
      </w:tr>
      <w:tr>
        <w:trPr>
          <w:trHeight w:val="237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Впровадження системи формувального оцінювання, що передбачає описове оцінювання, яке спрямовується на індивідуальний прогрес учня.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педагогічний колектив закладу</w:t>
            </w:r>
          </w:p>
        </w:tc>
      </w:tr>
      <w:tr>
        <w:trPr>
          <w:trHeight w:val="183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результатів навчання здобувачів освіти, прийняття рішень, щодо їх коригування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класні керівники, педагоги – предметники</w:t>
            </w:r>
          </w:p>
        </w:tc>
      </w:tr>
      <w:tr>
        <w:trPr>
          <w:trHeight w:val="345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Моніторинг діяльності учителів – предметників по відстежуванню особистісного поступу здобувачів освіти, формуванню у них позитивної самооцінки, відзначення досягнень, підтримання бажання навчатися, запобігання побоюванням допустити помилку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класні керівники, педагогічний колектив</w:t>
            </w:r>
          </w:p>
        </w:tc>
      </w:tr>
      <w:tr>
        <w:trPr>
          <w:trHeight w:val="21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Впровадження в освітній процес моніторингових звітів, що дозволяють визначити індивідуальний поступ здобувачів освіти</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звітів</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Вчителі предметники</w:t>
            </w:r>
          </w:p>
        </w:tc>
      </w:tr>
      <w:tr>
        <w:trPr>
          <w:trHeight w:val="15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Моніторинг освітніх досягнень здобувачів освіти за І семестр 2020-2021 н.р.</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 семестр 2020-2021 н.р.</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звітів</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 директорки з НВР Поводиренко В.М.</w:t>
            </w:r>
          </w:p>
        </w:tc>
      </w:tr>
      <w:tr>
        <w:trPr>
          <w:trHeight w:val="21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Моніторинг освітніх досягнень здобувачів освіти за 2020-2021 н.р. та результатів ДПА</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Травень- червень 2020-2021 н.р.</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звітів</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Класні керівники, заступник директорки з НВР Поводиренко В.М.</w:t>
            </w:r>
          </w:p>
        </w:tc>
      </w:tr>
    </w:tbl>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 Спрямованість системи оцінювання на формування у здобувачів освіти відповідальності за результати свого навчання, здатності до самооцінювання</w:t>
      </w:r>
    </w:p>
    <w:tbl>
      <w:tblPr>
        <w:tblStyle w:val="Table6"/>
        <w:tblW w:w="9668.0" w:type="dxa"/>
        <w:jc w:val="left"/>
        <w:tblInd w:w="100.0" w:type="pct"/>
        <w:tblLayout w:type="fixed"/>
        <w:tblLook w:val="0000"/>
      </w:tblPr>
      <w:tblGrid>
        <w:gridCol w:w="593"/>
        <w:gridCol w:w="3635"/>
        <w:gridCol w:w="1058"/>
        <w:gridCol w:w="2205"/>
        <w:gridCol w:w="2177"/>
        <w:tblGridChange w:id="0">
          <w:tblGrid>
            <w:gridCol w:w="593"/>
            <w:gridCol w:w="3635"/>
            <w:gridCol w:w="1058"/>
            <w:gridCol w:w="2205"/>
            <w:gridCol w:w="2177"/>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п/п</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Зміст</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Термін</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 збору інформації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Відповідальний</w:t>
            </w:r>
          </w:p>
        </w:tc>
      </w:tr>
      <w:tr>
        <w:trPr>
          <w:trHeight w:val="37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Формування педагогічними працівниками у здобувачів освіти відповідального ставлення до результатів навчання, підвищення мотивації до навчання. Розроблення та впровадження методичних та виховних чинників у підвищенні мотивації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w:t>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(за навчальним заняттям).</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Педагогічний колектив закладу</w:t>
            </w:r>
          </w:p>
        </w:tc>
      </w:tr>
      <w:tr>
        <w:trPr>
          <w:trHeight w:val="21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Забезпечити систему самооцінювання та взаємооцінювання здобувачів освіти на основі розроблених вчителем чітких критеріїв оцінювання;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Педагогічний колектив закладу</w:t>
            </w:r>
          </w:p>
        </w:tc>
      </w:tr>
      <w:tr>
        <w:trPr>
          <w:trHeight w:val="183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надання педагогічними працівниками необхідної допомоги здобувачам освіти у навчальній діяльності</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Практичний психолог</w:t>
            </w:r>
          </w:p>
        </w:tc>
      </w:tr>
      <w:tr>
        <w:trPr>
          <w:trHeight w:val="15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Аналіз запитів здобувачів освіти та їх ставлення до освітнього процесу, оволодіння освітньою програмою</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Практичний психолог</w:t>
            </w:r>
          </w:p>
        </w:tc>
      </w:tr>
      <w:tr>
        <w:trPr>
          <w:trHeight w:val="183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та впровадження в практичну діяльність педагогічними працівниками прийомів самооцінювання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Практичний психолог</w:t>
            </w:r>
          </w:p>
        </w:tc>
      </w:tr>
    </w:tbl>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30j0zll" w:id="1"/>
      <w:bookmarkEnd w:id="1"/>
      <w:r w:rsidDel="00000000" w:rsidR="00000000" w:rsidRPr="00000000">
        <w:rPr>
          <w:rtl w:val="0"/>
        </w:rPr>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Напрям 3. Педагогічна діяльність педагогічних працівників закладу</w:t>
      </w:r>
      <w:r w:rsidDel="00000000" w:rsidR="00000000" w:rsidRPr="00000000">
        <w:rPr>
          <w:rtl w:val="0"/>
        </w:rPr>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p>
    <w:tbl>
      <w:tblPr>
        <w:tblStyle w:val="Table7"/>
        <w:tblW w:w="9669.0" w:type="dxa"/>
        <w:jc w:val="left"/>
        <w:tblInd w:w="100.0" w:type="pct"/>
        <w:tblLayout w:type="fixed"/>
        <w:tblLook w:val="0000"/>
      </w:tblPr>
      <w:tblGrid>
        <w:gridCol w:w="581"/>
        <w:gridCol w:w="1769"/>
        <w:gridCol w:w="1485"/>
        <w:gridCol w:w="1045"/>
        <w:gridCol w:w="2639"/>
        <w:gridCol w:w="2150"/>
        <w:tblGridChange w:id="0">
          <w:tblGrid>
            <w:gridCol w:w="581"/>
            <w:gridCol w:w="1769"/>
            <w:gridCol w:w="1485"/>
            <w:gridCol w:w="1045"/>
            <w:gridCol w:w="2639"/>
            <w:gridCol w:w="2150"/>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п/п</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Зміст</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Термін</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Методи збору інформації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Відповідальний</w:t>
            </w:r>
          </w:p>
        </w:tc>
      </w:tr>
      <w:tr>
        <w:trPr>
          <w:trHeight w:val="291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освітньої програми закладу педагогічними працівниками. Розроблення календарно тематичного планування, яке відповідає освітній програмі закладу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 – 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опитування, аналіз  календарних планів</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керівники методичних об’єднань, педагоги закладу</w:t>
            </w:r>
          </w:p>
        </w:tc>
      </w:tr>
      <w:tr>
        <w:trPr>
          <w:trHeight w:val="318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педагогічними працівниками освітніх технологій, спрямованих на оволодіння здобувачами освіти ключових компетентностей і наскрізних умінь здобувачів освіти</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за освітнім процесом</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педагоги закладу</w:t>
            </w:r>
          </w:p>
        </w:tc>
      </w:tr>
      <w:tr>
        <w:trPr>
          <w:trHeight w:val="318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Розроблення педагогічними працівниками індивідуальних освітніх траєкторій для здобувачів освіти. Складання завдань, перевірка робіт, надання консультацій, проведення оцінювання навчальних досягнень</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 аналіз поточного, тематичного, семестрового, річних оцінювань</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педагоги закладу</w:t>
            </w:r>
          </w:p>
        </w:tc>
      </w:tr>
      <w:tr>
        <w:trPr>
          <w:trHeight w:val="183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Створення педагогічними працівниками власних освітніх ресурсів, публікацій, методичних розробок</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 аналіз сертифікатів, публікацій</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Педагогічні працівники закладу</w:t>
            </w:r>
          </w:p>
        </w:tc>
      </w:tr>
      <w:tr>
        <w:trPr>
          <w:trHeight w:val="21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педагогами змісту предметів, інтегрованих змістових ліній для формування суспільних цінностей, виховання патріотизму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Педагогічні працівники закладу</w:t>
            </w:r>
          </w:p>
        </w:tc>
      </w:tr>
      <w:tr>
        <w:trPr>
          <w:trHeight w:val="183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педагогами інформаційно комунікаційних технологій в освітньому процесі</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Педагоги закладу</w:t>
            </w:r>
          </w:p>
        </w:tc>
      </w:tr>
      <w:tr>
        <w:trPr>
          <w:trHeight w:val="755" w:hRule="atLeast"/>
        </w:trPr>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3.2. Постійне підвищення професійного рівня і педагогічної майстерності педагогічних працівників</w:t>
            </w:r>
          </w:p>
        </w:tc>
      </w:tr>
      <w:tr>
        <w:trPr>
          <w:trHeight w:val="15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Підвищення педагогічної майстерності через різні види, форми і напрямки</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сертифікатів,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педагоги закладу</w:t>
            </w:r>
          </w:p>
        </w:tc>
      </w:tr>
      <w:tr>
        <w:trPr>
          <w:trHeight w:val="318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Участь педагогічних працівників у інноваційній роботі (розроблення/адаптація, впровадження освітніх технологій, експериментальна робота) ініціювання /реалізація освітніх проектів</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педагогічні працівники закладу</w:t>
            </w:r>
          </w:p>
        </w:tc>
      </w:tr>
      <w:tr>
        <w:trPr>
          <w:trHeight w:val="129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Здійснення експертної діяльності педагогічними працівниками</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педагоги закладу</w:t>
            </w:r>
          </w:p>
        </w:tc>
      </w:tr>
      <w:tr>
        <w:trPr>
          <w:trHeight w:val="755" w:hRule="atLeast"/>
        </w:trPr>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3.3. Налагодження співпраці зі здобувачами освіти, їх батьками, працівниками закладу освіти</w:t>
            </w:r>
          </w:p>
        </w:tc>
      </w:tr>
      <w:tr>
        <w:trPr>
          <w:trHeight w:val="129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Дії педагогічних працівників на засадах педагогіки партнерства</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педагогічні працівники</w:t>
            </w:r>
          </w:p>
        </w:tc>
      </w:tr>
      <w:tr>
        <w:trPr>
          <w:trHeight w:val="237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форм роботи, спрямованих на формування партнерських взаємин зі здобувачами освіти із застосування особистісно орієнтованого підходу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директорів з НВР, педагогічні працівники</w:t>
            </w:r>
          </w:p>
        </w:tc>
      </w:tr>
      <w:tr>
        <w:trPr>
          <w:trHeight w:val="318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Налагодження конструктивної комунікації педагогічних працівників із батьками здобувачів освіти з питань організації освітнього процесу з метою забезпечення постійного зворот нього зв’язку.</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з НВР, педагогічні працівники</w:t>
            </w:r>
          </w:p>
        </w:tc>
      </w:tr>
      <w:tr>
        <w:trPr>
          <w:trHeight w:val="264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Надання методичної підтримки колегам (обмін досвідом, консультації, навчальні семінари, майстер – класи, конференції, взаємо відвідування занять, наставництво, публікації)</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Вивчення документації,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Заступники директорки, педагогічні працівники</w:t>
            </w:r>
          </w:p>
        </w:tc>
      </w:tr>
      <w:tr>
        <w:trPr>
          <w:trHeight w:val="755" w:hRule="atLeast"/>
        </w:trPr>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tc>
        <w:tc>
          <w:tcPr>
            <w:gridSpan w:val="4"/>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3.4. Організація педагогічної діяльності та навчання здобувачів освіти на засадах академічної доброчесності</w:t>
            </w:r>
          </w:p>
        </w:tc>
      </w:tr>
      <w:tr>
        <w:trPr>
          <w:trHeight w:val="210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 час провадження педагогічної та наукової (творчої діяльності педагогічні працівники діють на засадах академічної доброчесності</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Педагогічні працівники закладу</w:t>
            </w:r>
          </w:p>
        </w:tc>
      </w:tr>
      <w:tr>
        <w:trPr>
          <w:trHeight w:val="15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w:t>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Інформування здобувачів освіти про правила дотримання академічної доброчесності</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2020-2021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Спостереження, опитування</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Педагогічні працівники закладу</w:t>
            </w:r>
          </w:p>
        </w:tc>
      </w:tr>
      <w:tr>
        <w:trPr>
          <w:trHeight w:val="215" w:hRule="atLeast"/>
        </w:trPr>
        <w:tc>
          <w:tcPr>
            <w:tcBorders>
              <w:top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sz w:val="28"/>
          <w:szCs w:val="28"/>
          <w:rtl w:val="0"/>
        </w:rPr>
        <w:t xml:space="preserve">Напрям 4  Управлінські процеси закладу освіти</w:t>
      </w:r>
    </w:p>
    <w:p w:rsidR="00000000" w:rsidDel="00000000" w:rsidP="00000000" w:rsidRDefault="00000000" w:rsidRPr="00000000" w14:paraId="0000021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Наявність стратегії розвитку та системи планування діяльності закладу, моніторинг виконання поставлених цілей і завдань</w:t>
      </w:r>
    </w:p>
    <w:p w:rsidR="00000000" w:rsidDel="00000000" w:rsidP="00000000" w:rsidRDefault="00000000" w:rsidRPr="00000000" w14:paraId="0000021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bl>
      <w:tblPr>
        <w:tblStyle w:val="Table8"/>
        <w:tblW w:w="88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935"/>
        <w:gridCol w:w="1980"/>
        <w:gridCol w:w="960"/>
        <w:gridCol w:w="1650"/>
        <w:gridCol w:w="1875"/>
        <w:tblGridChange w:id="0">
          <w:tblGrid>
            <w:gridCol w:w="465"/>
            <w:gridCol w:w="1935"/>
            <w:gridCol w:w="1980"/>
            <w:gridCol w:w="960"/>
            <w:gridCol w:w="1650"/>
            <w:gridCol w:w="1875"/>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п/п</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Термін</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збору інформації</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Відповідальний</w:t>
            </w:r>
          </w:p>
        </w:tc>
      </w:tr>
      <w:tr>
        <w:trPr>
          <w:trHeight w:val="237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закладі освіти затверджено стратегію його розвитку, спрямовану на підвищення якості освітньої діяльності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r>
      <w:tr>
        <w:trPr>
          <w:trHeight w:val="534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Розробити стратегію розвитку закладу освіти, яка відповідатиме особливостям і умовам його діяльності (тип закладу, мова навчання, територія обслуговування, формування контингенту здобувачів освіти, обсяг та джерела фінансування)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Заступники директорки з НВР, керівники методичних об’єднань, педагоги закладу</w:t>
            </w:r>
          </w:p>
        </w:tc>
      </w:tr>
      <w:tr>
        <w:trPr>
          <w:trHeight w:val="369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Скласти річний план роботи закладу відповідно до стратегії його розвитку.</w:t>
            </w:r>
          </w:p>
          <w:p w:rsidR="00000000" w:rsidDel="00000000" w:rsidP="00000000" w:rsidRDefault="00000000" w:rsidRPr="00000000" w14:paraId="0000022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Обов’язково залучати до його створення учасників освітнього процесу.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Заступники директорки з НВР, керівники методичних об’єднань, педагоги закладу</w:t>
            </w:r>
          </w:p>
        </w:tc>
      </w:tr>
      <w:tr>
        <w:trPr>
          <w:trHeight w:val="156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Спланувати відстеження результативності плану роботи закладу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Заступники директорки з НВР, керівники методичних об’єднань</w:t>
            </w:r>
          </w:p>
        </w:tc>
      </w:tr>
      <w:tr>
        <w:trPr>
          <w:trHeight w:val="156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Проводити аналіз реалізації річного плану та (у разі потреби) коригувати його</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Заступники директорки з НВР, керівники методичних об’єднань</w:t>
            </w:r>
          </w:p>
        </w:tc>
      </w:tr>
      <w:tr>
        <w:trPr>
          <w:trHeight w:val="264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Спланувати діяльність педагогічної ради закладу на реалізацію річного плану і стратегії розвитку закладу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r>
        <w:trPr>
          <w:trHeight w:val="291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закладі освіти здійснюється самооцінювання якості освітньої діяльності на основі стратегії (політики) і процедур забезпечення якості освіти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Розробити та оприлюднити документ, що визначає стратегію (політику) і процедури забезпечення якості освіти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r>
        <w:trPr>
          <w:trHeight w:val="210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Розробити процедуру здійснення самооцінювання якості освітньої діяльності закладу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4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 керівники м/о</w:t>
            </w:r>
          </w:p>
        </w:tc>
      </w:tr>
      <w:tr>
        <w:trPr>
          <w:trHeight w:val="318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рідше 1 разу на рік здійснювати самооцінювання якості освітньої діяльності відповідно до розроблених або адаптованих у закладі процедур</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Учасники освітнього процесу</w:t>
            </w:r>
          </w:p>
        </w:tc>
      </w:tr>
      <w:tr>
        <w:trPr>
          <w:trHeight w:val="210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Залучати до самооцінювання якості освітньої діяльності учасників освітнього процесу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Учасники освітнього процесу</w:t>
            </w:r>
          </w:p>
        </w:tc>
      </w:tr>
      <w:tr>
        <w:trPr>
          <w:trHeight w:val="156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Вживати заходи для створення належних умов діяльності закладу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Вивчити матеріально-технічну базу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 керівники м/о</w:t>
            </w:r>
          </w:p>
        </w:tc>
      </w:tr>
      <w:tr>
        <w:trPr>
          <w:trHeight w:val="156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Спланувати розвиток матеріально-технічної бази закладу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 керівники м/о</w:t>
            </w:r>
          </w:p>
        </w:tc>
      </w:tr>
      <w:tr>
        <w:trPr>
          <w:trHeight w:val="156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Звертатися з відповідними клопотаннями до засновника закладу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Директорка закладу</w:t>
            </w:r>
          </w:p>
        </w:tc>
      </w:tr>
      <w:tr>
        <w:trPr>
          <w:trHeight w:val="102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Здійснювати проектну діяльність.</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 керівники м/о</w:t>
            </w:r>
          </w:p>
        </w:tc>
      </w:tr>
    </w:tbl>
    <w:p w:rsidR="00000000" w:rsidDel="00000000" w:rsidP="00000000" w:rsidRDefault="00000000" w:rsidRPr="00000000" w14:paraId="0000027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7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 Формування відносин довіри, прозорості, дотримання етичних норм</w:t>
      </w:r>
    </w:p>
    <w:tbl>
      <w:tblPr>
        <w:tblStyle w:val="Table9"/>
        <w:tblW w:w="915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2205"/>
        <w:gridCol w:w="1785"/>
        <w:gridCol w:w="945"/>
        <w:gridCol w:w="1890"/>
        <w:gridCol w:w="1860"/>
        <w:tblGridChange w:id="0">
          <w:tblGrid>
            <w:gridCol w:w="465"/>
            <w:gridCol w:w="2205"/>
            <w:gridCol w:w="1785"/>
            <w:gridCol w:w="945"/>
            <w:gridCol w:w="1890"/>
            <w:gridCol w:w="1860"/>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п/п</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Термін</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збору інформації</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Відповідальний</w:t>
            </w:r>
          </w:p>
        </w:tc>
      </w:tr>
      <w:tr>
        <w:trPr>
          <w:trHeight w:val="399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Сприяти створенню психологічно-комфортного середовища, яке забезпечує конструктивну взаємодію здобувачів освіти, їх батьків, педагогічних та інших працівників закладу освіти та взаємну довіру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r>
      <w:tr>
        <w:trPr>
          <w:trHeight w:val="507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Забезпечити доступ учасників освітнього процесу, представників місцевої громади до спілкування із керівництвом через особистий прийом, звернення, використання сучасних засобів комунікації</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r>
        <w:trPr>
          <w:trHeight w:val="291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Вчасно розглядати звернення учасників освітнього процесу та вживати відповідних заходів реагування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r>
        <w:trPr>
          <w:trHeight w:val="507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Оприлюднювати інформацію про свою діяльність на відкритих загальнодоступних ресурсах</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Забезпечити змістовне наповнення та вчасне оновлення інформаційних ресурсів закладу (інформаційні стенди, сайт закладу освіти/інформація на сайті засновника, сторінки в соціальних мережах)</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Спостереження,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 керівники м/о, педагогічні працівники</w:t>
            </w:r>
          </w:p>
        </w:tc>
      </w:tr>
    </w:tbl>
    <w:p w:rsidR="00000000" w:rsidDel="00000000" w:rsidP="00000000" w:rsidRDefault="00000000" w:rsidRPr="00000000" w14:paraId="0000029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9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Ефективність кадрової політики та забезпечення можливостей для професійного розвитку педагогічних працівників</w:t>
      </w:r>
    </w:p>
    <w:tbl>
      <w:tblPr>
        <w:tblStyle w:val="Table10"/>
        <w:tblW w:w="928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5"/>
        <w:gridCol w:w="1800"/>
        <w:gridCol w:w="2580"/>
        <w:gridCol w:w="945"/>
        <w:gridCol w:w="1635"/>
        <w:gridCol w:w="1860"/>
        <w:tblGridChange w:id="0">
          <w:tblGrid>
            <w:gridCol w:w="465"/>
            <w:gridCol w:w="1800"/>
            <w:gridCol w:w="2580"/>
            <w:gridCol w:w="945"/>
            <w:gridCol w:w="1635"/>
            <w:gridCol w:w="1860"/>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п/п</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Термін</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збору інформації</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Відповідальний</w:t>
            </w:r>
          </w:p>
        </w:tc>
      </w:tr>
      <w:tr>
        <w:trPr>
          <w:trHeight w:val="34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Формувати штат закладу, залучаючи кваліфікованих педагогічних та інших працівників відповідно до штатного розпису та освітньої програми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Укомплектувати кадровий склад (наявність\відсутність) вакансій</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Директорка закладу</w:t>
            </w:r>
          </w:p>
        </w:tc>
      </w:tr>
      <w:tr>
        <w:trPr>
          <w:trHeight w:val="183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Проаналізувати кадровий склад, з’ясувати частку працівників закладу, які працюють за фахом.</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r>
      <w:tr>
        <w:trPr>
          <w:trHeight w:val="237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Застосовувати заходи матеріального та морального заохочення до педагогічних працівників з метою підвищення якості освітньої діяльності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r>
        <w:trPr>
          <w:trHeight w:val="264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Сприяти підвищенню кваліфікації педагогічних працівників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Створити умови для постійного підвищення кваліфікації , чергової та позачергової атестації, добровільної сертифікації педагогічних працівників</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r>
        <w:trPr>
          <w:trHeight w:val="210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З’ясувати, яка частка педагогічних працівників вважають, що керівництво закладу сприяє їхньому професійному розвитку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bl>
    <w:p w:rsidR="00000000" w:rsidDel="00000000" w:rsidP="00000000" w:rsidRDefault="00000000" w:rsidRPr="00000000" w14:paraId="000002B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B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p w:rsidR="00000000" w:rsidDel="00000000" w:rsidP="00000000" w:rsidRDefault="00000000" w:rsidRPr="00000000" w14:paraId="000002B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bl>
      <w:tblPr>
        <w:tblStyle w:val="Table11"/>
        <w:tblW w:w="900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0"/>
        <w:gridCol w:w="1890"/>
        <w:gridCol w:w="1890"/>
        <w:gridCol w:w="945"/>
        <w:gridCol w:w="1635"/>
        <w:gridCol w:w="1860"/>
        <w:tblGridChange w:id="0">
          <w:tblGrid>
            <w:gridCol w:w="780"/>
            <w:gridCol w:w="1890"/>
            <w:gridCol w:w="1890"/>
            <w:gridCol w:w="945"/>
            <w:gridCol w:w="1635"/>
            <w:gridCol w:w="1860"/>
          </w:tblGrid>
        </w:tblGridChange>
      </w:tblGrid>
      <w:tr>
        <w:trPr>
          <w:trHeight w:val="102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п/п</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Термін</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збору інформації</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Відповідальний</w:t>
            </w:r>
          </w:p>
        </w:tc>
      </w:tr>
      <w:tr>
        <w:trPr>
          <w:trHeight w:val="291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Створити умови для реалізації прав і обов’язків учасників освітнього процесу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Визначити частку учасників освітнього процесу, які вважають, що їхні права в закладі освіти не порушуються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r>
        <w:trPr>
          <w:trHeight w:val="34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Приймати управлінські рішення з урахуванням пропозицій учасників освітнього процесу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Визначити частку учасників освітнього процесу, які вважають, що їхні пропозиції враховуються під час прийняття управлінських рішень</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r>
        <w:trPr>
          <w:trHeight w:val="210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Створювати умови для розвитку громадського самоврядування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Сприяти участі громадського самоврядування у вирішенні питань щодо діяльності закладу освіти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r>
        <w:trPr>
          <w:trHeight w:val="534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Сприяти виявленню громадської активності та ініціативи учасників освітнього процесу ,їх участі в житті місцевої громади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Підтримувати освітні та громадські ініціативи учасників освітнього процесу, які спрямовані на сталий розвиток закладу та участь у житті місцевої громади (культурні, спортивні, екологічні проекти, заходи)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 керівники м/о</w:t>
            </w:r>
          </w:p>
        </w:tc>
      </w:tr>
      <w:tr>
        <w:trPr>
          <w:trHeight w:val="318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Затвердити режим роботи закладу та розклад занять з урахуванням вікових особливостей здобувачів освіти та відповідно до їх освітніх потреб</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Розробити режим закладу освіти з врахуванням потреб учасників освітнього процесу, особливостей діяльності закладу</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r>
        <w:trPr>
          <w:trHeight w:val="372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Скласти розклад навчальних занять, який забезпечує рівномірне навчальне навантаження відповідно до вікових особливостей здобувачів освіти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r>
        <w:trPr>
          <w:trHeight w:val="210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Сформувати розклад навчальних занять відповідно до освітньої програми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Адміністрація закладу</w:t>
            </w:r>
          </w:p>
        </w:tc>
      </w:tr>
      <w:tr>
        <w:trPr>
          <w:trHeight w:val="237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Створювати умови для реалізації індивідуальних освітніх траєкторій здобувачів освіти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Створити умови для реалізації індивідуальних освітніх траєкторій здобувачів освіти</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bl>
    <w:p w:rsidR="00000000" w:rsidDel="00000000" w:rsidP="00000000" w:rsidRDefault="00000000" w:rsidRPr="00000000" w14:paraId="000002F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F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 Формування та забезпечення реалізації політики академічної доброчесності</w:t>
      </w:r>
    </w:p>
    <w:p w:rsidR="00000000" w:rsidDel="00000000" w:rsidP="00000000" w:rsidRDefault="00000000" w:rsidRPr="00000000" w14:paraId="000002F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bl>
      <w:tblPr>
        <w:tblStyle w:val="Table12"/>
        <w:tblW w:w="88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0"/>
        <w:gridCol w:w="1860"/>
        <w:gridCol w:w="1725"/>
        <w:gridCol w:w="990"/>
        <w:gridCol w:w="1665"/>
        <w:gridCol w:w="1905"/>
        <w:tblGridChange w:id="0">
          <w:tblGrid>
            <w:gridCol w:w="720"/>
            <w:gridCol w:w="1860"/>
            <w:gridCol w:w="1725"/>
            <w:gridCol w:w="990"/>
            <w:gridCol w:w="1665"/>
            <w:gridCol w:w="1905"/>
          </w:tblGrid>
        </w:tblGridChange>
      </w:tblGrid>
      <w:tr>
        <w:trPr>
          <w:trHeight w:val="75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п/п</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Термін</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збору інформації</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Відповідальний</w:t>
            </w:r>
          </w:p>
        </w:tc>
      </w:tr>
      <w:tr>
        <w:trPr>
          <w:trHeight w:val="129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Впровадити політику академічної доброчесності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F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r>
      <w:tr>
        <w:trPr>
          <w:trHeight w:val="183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Забезпечити реалізацію заходів щодо формування академічної доброчесності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документації, 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r>
        <w:trPr>
          <w:trHeight w:val="156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0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Протидіяти фактам порушення академічної доброчесності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0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r>
        <w:trPr>
          <w:trHeight w:val="237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Забезпечити інформування педагогічних працівників щодо дотримання академічної доброчесності</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r>
        <w:trPr>
          <w:trHeight w:val="372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Забезпечити проведення освітніх та інформаційних заходів, спрямованих на формування в учасників навчального процесу негативного ставлення до корупції</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2019-2021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опитування</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1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Керівництво закладу</w:t>
            </w:r>
          </w:p>
        </w:tc>
      </w:tr>
    </w:tbl>
    <w:p w:rsidR="00000000" w:rsidDel="00000000" w:rsidP="00000000" w:rsidRDefault="00000000" w:rsidRPr="00000000" w14:paraId="0000031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240" w:before="28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sectPr>
      <w:type w:val="nextPage"/>
      <w:pgSz w:h="15840" w:w="12240"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71" w:hanging="1071"/>
      </w:pPr>
      <w:rPr>
        <w:rFonts w:ascii="Times New Roman" w:cs="Times New Roman" w:eastAsia="Times New Roman" w:hAnsi="Times New Roman"/>
        <w:b w:val="0"/>
        <w:i w:val="0"/>
        <w:strike w:val="0"/>
        <w:color w:val="000000"/>
        <w:sz w:val="28"/>
        <w:szCs w:val="28"/>
        <w:u w:val="none"/>
        <w:vertAlign w:val="baseline"/>
      </w:rPr>
    </w:lvl>
    <w:lvl w:ilvl="1">
      <w:start w:val="1"/>
      <w:numFmt w:val="bullet"/>
      <w:lvlText w:val="o"/>
      <w:lvlJc w:val="left"/>
      <w:pPr>
        <w:ind w:left="1790" w:hanging="1790"/>
      </w:pPr>
      <w:rPr>
        <w:rFonts w:ascii="Times New Roman" w:cs="Times New Roman" w:eastAsia="Times New Roman" w:hAnsi="Times New Roman"/>
        <w:b w:val="0"/>
        <w:i w:val="0"/>
        <w:strike w:val="0"/>
        <w:color w:val="000000"/>
        <w:sz w:val="28"/>
        <w:szCs w:val="28"/>
        <w:u w:val="none"/>
        <w:vertAlign w:val="baseline"/>
      </w:rPr>
    </w:lvl>
    <w:lvl w:ilvl="2">
      <w:start w:val="1"/>
      <w:numFmt w:val="bullet"/>
      <w:lvlText w:val="▪"/>
      <w:lvlJc w:val="left"/>
      <w:pPr>
        <w:ind w:left="2510" w:hanging="2510"/>
      </w:pPr>
      <w:rPr>
        <w:rFonts w:ascii="Times New Roman" w:cs="Times New Roman" w:eastAsia="Times New Roman" w:hAnsi="Times New Roman"/>
        <w:b w:val="0"/>
        <w:i w:val="0"/>
        <w:strike w:val="0"/>
        <w:color w:val="000000"/>
        <w:sz w:val="28"/>
        <w:szCs w:val="28"/>
        <w:u w:val="none"/>
        <w:vertAlign w:val="baseline"/>
      </w:rPr>
    </w:lvl>
    <w:lvl w:ilvl="3">
      <w:start w:val="1"/>
      <w:numFmt w:val="bullet"/>
      <w:lvlText w:val="•"/>
      <w:lvlJc w:val="left"/>
      <w:pPr>
        <w:ind w:left="3230" w:hanging="3230"/>
      </w:pPr>
      <w:rPr>
        <w:rFonts w:ascii="Times New Roman" w:cs="Times New Roman" w:eastAsia="Times New Roman" w:hAnsi="Times New Roman"/>
        <w:b w:val="0"/>
        <w:i w:val="0"/>
        <w:strike w:val="0"/>
        <w:color w:val="000000"/>
        <w:sz w:val="28"/>
        <w:szCs w:val="28"/>
        <w:u w:val="none"/>
        <w:vertAlign w:val="baseline"/>
      </w:rPr>
    </w:lvl>
    <w:lvl w:ilvl="4">
      <w:start w:val="1"/>
      <w:numFmt w:val="bullet"/>
      <w:lvlText w:val="o"/>
      <w:lvlJc w:val="left"/>
      <w:pPr>
        <w:ind w:left="3950" w:hanging="3950"/>
      </w:pPr>
      <w:rPr>
        <w:rFonts w:ascii="Times New Roman" w:cs="Times New Roman" w:eastAsia="Times New Roman" w:hAnsi="Times New Roman"/>
        <w:b w:val="0"/>
        <w:i w:val="0"/>
        <w:strike w:val="0"/>
        <w:color w:val="000000"/>
        <w:sz w:val="28"/>
        <w:szCs w:val="28"/>
        <w:u w:val="none"/>
        <w:vertAlign w:val="baseline"/>
      </w:rPr>
    </w:lvl>
    <w:lvl w:ilvl="5">
      <w:start w:val="1"/>
      <w:numFmt w:val="bullet"/>
      <w:lvlText w:val="▪"/>
      <w:lvlJc w:val="left"/>
      <w:pPr>
        <w:ind w:left="4670" w:hanging="4670"/>
      </w:pPr>
      <w:rPr>
        <w:rFonts w:ascii="Times New Roman" w:cs="Times New Roman" w:eastAsia="Times New Roman" w:hAnsi="Times New Roman"/>
        <w:b w:val="0"/>
        <w:i w:val="0"/>
        <w:strike w:val="0"/>
        <w:color w:val="000000"/>
        <w:sz w:val="28"/>
        <w:szCs w:val="28"/>
        <w:u w:val="none"/>
        <w:vertAlign w:val="baseline"/>
      </w:rPr>
    </w:lvl>
    <w:lvl w:ilvl="6">
      <w:start w:val="1"/>
      <w:numFmt w:val="bullet"/>
      <w:lvlText w:val="•"/>
      <w:lvlJc w:val="left"/>
      <w:pPr>
        <w:ind w:left="5390" w:hanging="5390"/>
      </w:pPr>
      <w:rPr>
        <w:rFonts w:ascii="Times New Roman" w:cs="Times New Roman" w:eastAsia="Times New Roman" w:hAnsi="Times New Roman"/>
        <w:b w:val="0"/>
        <w:i w:val="0"/>
        <w:strike w:val="0"/>
        <w:color w:val="000000"/>
        <w:sz w:val="28"/>
        <w:szCs w:val="28"/>
        <w:u w:val="none"/>
        <w:vertAlign w:val="baseline"/>
      </w:rPr>
    </w:lvl>
    <w:lvl w:ilvl="7">
      <w:start w:val="1"/>
      <w:numFmt w:val="bullet"/>
      <w:lvlText w:val="o"/>
      <w:lvlJc w:val="left"/>
      <w:pPr>
        <w:ind w:left="6110" w:hanging="6110"/>
      </w:pPr>
      <w:rPr>
        <w:rFonts w:ascii="Times New Roman" w:cs="Times New Roman" w:eastAsia="Times New Roman" w:hAnsi="Times New Roman"/>
        <w:b w:val="0"/>
        <w:i w:val="0"/>
        <w:strike w:val="0"/>
        <w:color w:val="000000"/>
        <w:sz w:val="28"/>
        <w:szCs w:val="28"/>
        <w:u w:val="none"/>
        <w:vertAlign w:val="baseline"/>
      </w:rPr>
    </w:lvl>
    <w:lvl w:ilvl="8">
      <w:start w:val="1"/>
      <w:numFmt w:val="bullet"/>
      <w:lvlText w:val="▪"/>
      <w:lvlJc w:val="left"/>
      <w:pPr>
        <w:ind w:left="6830" w:hanging="6830"/>
      </w:pPr>
      <w:rPr>
        <w:rFonts w:ascii="Times New Roman" w:cs="Times New Roman" w:eastAsia="Times New Roman" w:hAnsi="Times New Roman"/>
        <w:b w:val="0"/>
        <w:i w:val="0"/>
        <w:strike w:val="0"/>
        <w:color w:val="000000"/>
        <w:sz w:val="28"/>
        <w:szCs w:val="28"/>
        <w:u w:val="none"/>
        <w:vertAlign w:val="baseline"/>
      </w:rPr>
    </w:lvl>
  </w:abstractNum>
  <w:abstractNum w:abstractNumId="2">
    <w:lvl w:ilvl="0">
      <w:start w:val="1"/>
      <w:numFmt w:val="bullet"/>
      <w:lvlText w:val="-"/>
      <w:lvlJc w:val="left"/>
      <w:pPr>
        <w:ind w:left="0" w:firstLine="0"/>
      </w:pPr>
      <w:rPr>
        <w:rFonts w:ascii="Calibri" w:cs="Calibri" w:eastAsia="Calibri" w:hAnsi="Calibri"/>
        <w:b w:val="1"/>
        <w:i w:val="0"/>
        <w:strike w:val="0"/>
        <w:color w:val="000000"/>
        <w:sz w:val="40"/>
        <w:szCs w:val="40"/>
        <w:u w:val="none"/>
        <w:vertAlign w:val="baseline"/>
      </w:rPr>
    </w:lvl>
    <w:lvl w:ilvl="1">
      <w:start w:val="1"/>
      <w:numFmt w:val="bullet"/>
      <w:lvlText w:val="o"/>
      <w:lvlJc w:val="left"/>
      <w:pPr>
        <w:ind w:left="642" w:hanging="642"/>
      </w:pPr>
      <w:rPr>
        <w:rFonts w:ascii="Calibri" w:cs="Calibri" w:eastAsia="Calibri" w:hAnsi="Calibri"/>
        <w:b w:val="1"/>
        <w:i w:val="0"/>
        <w:strike w:val="0"/>
        <w:color w:val="93d502"/>
        <w:sz w:val="40"/>
        <w:szCs w:val="40"/>
        <w:u w:val="none"/>
        <w:vertAlign w:val="baseline"/>
      </w:rPr>
    </w:lvl>
    <w:lvl w:ilvl="2">
      <w:start w:val="1"/>
      <w:numFmt w:val="bullet"/>
      <w:lvlText w:val="▪"/>
      <w:lvlJc w:val="left"/>
      <w:pPr>
        <w:ind w:left="1362" w:hanging="1362"/>
      </w:pPr>
      <w:rPr>
        <w:rFonts w:ascii="Calibri" w:cs="Calibri" w:eastAsia="Calibri" w:hAnsi="Calibri"/>
        <w:b w:val="1"/>
        <w:i w:val="0"/>
        <w:strike w:val="0"/>
        <w:color w:val="93d502"/>
        <w:sz w:val="40"/>
        <w:szCs w:val="40"/>
        <w:u w:val="none"/>
        <w:vertAlign w:val="baseline"/>
      </w:rPr>
    </w:lvl>
    <w:lvl w:ilvl="3">
      <w:start w:val="1"/>
      <w:numFmt w:val="bullet"/>
      <w:lvlText w:val="•"/>
      <w:lvlJc w:val="left"/>
      <w:pPr>
        <w:ind w:left="2082" w:hanging="2082"/>
      </w:pPr>
      <w:rPr>
        <w:rFonts w:ascii="Calibri" w:cs="Calibri" w:eastAsia="Calibri" w:hAnsi="Calibri"/>
        <w:b w:val="1"/>
        <w:i w:val="0"/>
        <w:strike w:val="0"/>
        <w:color w:val="93d502"/>
        <w:sz w:val="40"/>
        <w:szCs w:val="40"/>
        <w:u w:val="none"/>
        <w:vertAlign w:val="baseline"/>
      </w:rPr>
    </w:lvl>
    <w:lvl w:ilvl="4">
      <w:start w:val="1"/>
      <w:numFmt w:val="bullet"/>
      <w:lvlText w:val="o"/>
      <w:lvlJc w:val="left"/>
      <w:pPr>
        <w:ind w:left="2802" w:hanging="2802"/>
      </w:pPr>
      <w:rPr>
        <w:rFonts w:ascii="Calibri" w:cs="Calibri" w:eastAsia="Calibri" w:hAnsi="Calibri"/>
        <w:b w:val="1"/>
        <w:i w:val="0"/>
        <w:strike w:val="0"/>
        <w:color w:val="93d502"/>
        <w:sz w:val="40"/>
        <w:szCs w:val="40"/>
        <w:u w:val="none"/>
        <w:vertAlign w:val="baseline"/>
      </w:rPr>
    </w:lvl>
    <w:lvl w:ilvl="5">
      <w:start w:val="1"/>
      <w:numFmt w:val="bullet"/>
      <w:lvlText w:val="▪"/>
      <w:lvlJc w:val="left"/>
      <w:pPr>
        <w:ind w:left="3522" w:hanging="3522"/>
      </w:pPr>
      <w:rPr>
        <w:rFonts w:ascii="Calibri" w:cs="Calibri" w:eastAsia="Calibri" w:hAnsi="Calibri"/>
        <w:b w:val="1"/>
        <w:i w:val="0"/>
        <w:strike w:val="0"/>
        <w:color w:val="93d502"/>
        <w:sz w:val="40"/>
        <w:szCs w:val="40"/>
        <w:u w:val="none"/>
        <w:vertAlign w:val="baseline"/>
      </w:rPr>
    </w:lvl>
    <w:lvl w:ilvl="6">
      <w:start w:val="1"/>
      <w:numFmt w:val="bullet"/>
      <w:lvlText w:val="•"/>
      <w:lvlJc w:val="left"/>
      <w:pPr>
        <w:ind w:left="4242" w:hanging="4242"/>
      </w:pPr>
      <w:rPr>
        <w:rFonts w:ascii="Calibri" w:cs="Calibri" w:eastAsia="Calibri" w:hAnsi="Calibri"/>
        <w:b w:val="1"/>
        <w:i w:val="0"/>
        <w:strike w:val="0"/>
        <w:color w:val="93d502"/>
        <w:sz w:val="40"/>
        <w:szCs w:val="40"/>
        <w:u w:val="none"/>
        <w:vertAlign w:val="baseline"/>
      </w:rPr>
    </w:lvl>
    <w:lvl w:ilvl="7">
      <w:start w:val="1"/>
      <w:numFmt w:val="bullet"/>
      <w:lvlText w:val="o"/>
      <w:lvlJc w:val="left"/>
      <w:pPr>
        <w:ind w:left="4962" w:hanging="4962"/>
      </w:pPr>
      <w:rPr>
        <w:rFonts w:ascii="Calibri" w:cs="Calibri" w:eastAsia="Calibri" w:hAnsi="Calibri"/>
        <w:b w:val="1"/>
        <w:i w:val="0"/>
        <w:strike w:val="0"/>
        <w:color w:val="93d502"/>
        <w:sz w:val="40"/>
        <w:szCs w:val="40"/>
        <w:u w:val="none"/>
        <w:vertAlign w:val="baseline"/>
      </w:rPr>
    </w:lvl>
    <w:lvl w:ilvl="8">
      <w:start w:val="1"/>
      <w:numFmt w:val="bullet"/>
      <w:lvlText w:val="▪"/>
      <w:lvlJc w:val="left"/>
      <w:pPr>
        <w:ind w:left="5682" w:hanging="5682"/>
      </w:pPr>
      <w:rPr>
        <w:rFonts w:ascii="Calibri" w:cs="Calibri" w:eastAsia="Calibri" w:hAnsi="Calibri"/>
        <w:b w:val="1"/>
        <w:i w:val="0"/>
        <w:strike w:val="0"/>
        <w:color w:val="93d502"/>
        <w:sz w:val="40"/>
        <w:szCs w:val="40"/>
        <w:u w:val="none"/>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Обычный">
    <w:name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uk-UA" w:val="ru-RU"/>
    </w:rPr>
  </w:style>
  <w:style w:type="paragraph" w:styleId="Заголовок1">
    <w:name w:val="Заголовок 1"/>
    <w:basedOn w:val="normal"/>
    <w:next w:val="normal"/>
    <w:autoRedefine w:val="0"/>
    <w:hidden w:val="0"/>
    <w:qFormat w:val="0"/>
    <w:pPr>
      <w:keepNext w:val="1"/>
      <w:keepLines w:val="1"/>
      <w:suppressAutoHyphens w:val="1"/>
      <w:spacing w:after="120" w:before="480" w:line="259" w:lineRule="auto"/>
      <w:ind w:leftChars="-1" w:rightChars="0" w:firstLineChars="-1"/>
      <w:textDirection w:val="btLr"/>
      <w:textAlignment w:val="top"/>
      <w:outlineLvl w:val="0"/>
    </w:pPr>
    <w:rPr>
      <w:b w:val="1"/>
      <w:w w:val="100"/>
      <w:position w:val="-1"/>
      <w:sz w:val="48"/>
      <w:szCs w:val="48"/>
      <w:effect w:val="none"/>
      <w:vertAlign w:val="baseline"/>
      <w:cs w:val="0"/>
      <w:em w:val="none"/>
      <w:lang w:bidi="ar-SA" w:eastAsia="uk-UA" w:val="ru-RU"/>
    </w:rPr>
  </w:style>
  <w:style w:type="paragraph" w:styleId="Заголовок2">
    <w:name w:val="Заголовок 2"/>
    <w:basedOn w:val="normal"/>
    <w:next w:val="normal"/>
    <w:autoRedefine w:val="0"/>
    <w:hidden w:val="0"/>
    <w:qFormat w:val="0"/>
    <w:pPr>
      <w:keepNext w:val="1"/>
      <w:keepLines w:val="1"/>
      <w:suppressAutoHyphens w:val="1"/>
      <w:spacing w:after="80" w:before="360" w:line="259" w:lineRule="auto"/>
      <w:ind w:leftChars="-1" w:rightChars="0" w:firstLineChars="-1"/>
      <w:textDirection w:val="btLr"/>
      <w:textAlignment w:val="top"/>
      <w:outlineLvl w:val="1"/>
    </w:pPr>
    <w:rPr>
      <w:b w:val="1"/>
      <w:w w:val="100"/>
      <w:position w:val="-1"/>
      <w:sz w:val="36"/>
      <w:szCs w:val="36"/>
      <w:effect w:val="none"/>
      <w:vertAlign w:val="baseline"/>
      <w:cs w:val="0"/>
      <w:em w:val="none"/>
      <w:lang w:bidi="ar-SA" w:eastAsia="uk-UA" w:val="ru-RU"/>
    </w:rPr>
  </w:style>
  <w:style w:type="paragraph" w:styleId="Заголовок3">
    <w:name w:val="Заголовок 3"/>
    <w:basedOn w:val="normal"/>
    <w:next w:val="normal"/>
    <w:autoRedefine w:val="0"/>
    <w:hidden w:val="0"/>
    <w:qFormat w:val="0"/>
    <w:pPr>
      <w:keepNext w:val="1"/>
      <w:keepLines w:val="1"/>
      <w:suppressAutoHyphens w:val="1"/>
      <w:spacing w:after="80" w:before="280" w:line="259" w:lineRule="auto"/>
      <w:ind w:leftChars="-1" w:rightChars="0" w:firstLineChars="-1"/>
      <w:textDirection w:val="btLr"/>
      <w:textAlignment w:val="top"/>
      <w:outlineLvl w:val="2"/>
    </w:pPr>
    <w:rPr>
      <w:b w:val="1"/>
      <w:w w:val="100"/>
      <w:position w:val="-1"/>
      <w:sz w:val="28"/>
      <w:szCs w:val="28"/>
      <w:effect w:val="none"/>
      <w:vertAlign w:val="baseline"/>
      <w:cs w:val="0"/>
      <w:em w:val="none"/>
      <w:lang w:bidi="ar-SA" w:eastAsia="uk-UA" w:val="ru-RU"/>
    </w:rPr>
  </w:style>
  <w:style w:type="paragraph" w:styleId="Заголовок4">
    <w:name w:val="Заголовок 4"/>
    <w:basedOn w:val="normal"/>
    <w:next w:val="normal"/>
    <w:autoRedefine w:val="0"/>
    <w:hidden w:val="0"/>
    <w:qFormat w:val="0"/>
    <w:pPr>
      <w:keepNext w:val="1"/>
      <w:keepLines w:val="1"/>
      <w:suppressAutoHyphens w:val="1"/>
      <w:spacing w:after="40" w:before="240" w:line="259" w:lineRule="auto"/>
      <w:ind w:leftChars="-1" w:rightChars="0" w:firstLineChars="-1"/>
      <w:textDirection w:val="btLr"/>
      <w:textAlignment w:val="top"/>
      <w:outlineLvl w:val="3"/>
    </w:pPr>
    <w:rPr>
      <w:b w:val="1"/>
      <w:w w:val="100"/>
      <w:position w:val="-1"/>
      <w:sz w:val="24"/>
      <w:szCs w:val="24"/>
      <w:effect w:val="none"/>
      <w:vertAlign w:val="baseline"/>
      <w:cs w:val="0"/>
      <w:em w:val="none"/>
      <w:lang w:bidi="ar-SA" w:eastAsia="uk-UA" w:val="ru-RU"/>
    </w:rPr>
  </w:style>
  <w:style w:type="paragraph" w:styleId="Заголовок5">
    <w:name w:val="Заголовок 5"/>
    <w:basedOn w:val="normal"/>
    <w:next w:val="normal"/>
    <w:autoRedefine w:val="0"/>
    <w:hidden w:val="0"/>
    <w:qFormat w:val="0"/>
    <w:pPr>
      <w:keepNext w:val="1"/>
      <w:keepLines w:val="1"/>
      <w:suppressAutoHyphens w:val="1"/>
      <w:spacing w:after="40" w:before="220" w:line="259" w:lineRule="auto"/>
      <w:ind w:leftChars="-1" w:rightChars="0" w:firstLineChars="-1"/>
      <w:textDirection w:val="btLr"/>
      <w:textAlignment w:val="top"/>
      <w:outlineLvl w:val="4"/>
    </w:pPr>
    <w:rPr>
      <w:b w:val="1"/>
      <w:w w:val="100"/>
      <w:position w:val="-1"/>
      <w:sz w:val="22"/>
      <w:szCs w:val="22"/>
      <w:effect w:val="none"/>
      <w:vertAlign w:val="baseline"/>
      <w:cs w:val="0"/>
      <w:em w:val="none"/>
      <w:lang w:bidi="ar-SA" w:eastAsia="uk-UA" w:val="ru-RU"/>
    </w:rPr>
  </w:style>
  <w:style w:type="paragraph" w:styleId="Заголовок6">
    <w:name w:val="Заголовок 6"/>
    <w:basedOn w:val="normal"/>
    <w:next w:val="normal"/>
    <w:autoRedefine w:val="0"/>
    <w:hidden w:val="0"/>
    <w:qFormat w:val="0"/>
    <w:pPr>
      <w:keepNext w:val="1"/>
      <w:keepLines w:val="1"/>
      <w:suppressAutoHyphens w:val="1"/>
      <w:spacing w:after="40" w:before="200" w:line="259" w:lineRule="auto"/>
      <w:ind w:leftChars="-1" w:rightChars="0" w:firstLineChars="-1"/>
      <w:textDirection w:val="btLr"/>
      <w:textAlignment w:val="top"/>
      <w:outlineLvl w:val="5"/>
    </w:pPr>
    <w:rPr>
      <w:b w:val="1"/>
      <w:w w:val="100"/>
      <w:position w:val="-1"/>
      <w:sz w:val="20"/>
      <w:szCs w:val="20"/>
      <w:effect w:val="none"/>
      <w:vertAlign w:val="baseline"/>
      <w:cs w:val="0"/>
      <w:em w:val="none"/>
      <w:lang w:bidi="ar-SA" w:eastAsia="uk-UA" w:val="ru-RU"/>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0"/>
    <w:pPr>
      <w:suppressAutoHyphens w:val="1"/>
      <w:spacing w:line="1" w:lineRule="atLeast"/>
      <w:ind w:leftChars="-1" w:rightChars="0" w:firstLineChars="-1"/>
      <w:textDirection w:val="btLr"/>
      <w:textAlignment w:val="top"/>
      <w:outlineLvl w:val="0"/>
    </w:pPr>
  </w:style>
  <w:style w:type="paragraph" w:styleId="normal">
    <w:name w:val="normal"/>
    <w:next w:val="normal"/>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uk-UA" w:val="ru-RU"/>
    </w:rPr>
  </w:style>
  <w:style w:type="paragraph" w:styleId="Название">
    <w:name w:val="Название"/>
    <w:basedOn w:val="normal"/>
    <w:next w:val="normal"/>
    <w:autoRedefine w:val="0"/>
    <w:hidden w:val="0"/>
    <w:qFormat w:val="0"/>
    <w:pPr>
      <w:keepNext w:val="1"/>
      <w:keepLines w:val="1"/>
      <w:suppressAutoHyphens w:val="1"/>
      <w:spacing w:after="120" w:before="480" w:line="259" w:lineRule="auto"/>
      <w:ind w:leftChars="-1" w:rightChars="0" w:firstLineChars="-1"/>
      <w:textDirection w:val="btLr"/>
      <w:textAlignment w:val="top"/>
      <w:outlineLvl w:val="0"/>
    </w:pPr>
    <w:rPr>
      <w:b w:val="1"/>
      <w:w w:val="100"/>
      <w:position w:val="-1"/>
      <w:sz w:val="72"/>
      <w:szCs w:val="72"/>
      <w:effect w:val="none"/>
      <w:vertAlign w:val="baseline"/>
      <w:cs w:val="0"/>
      <w:em w:val="none"/>
      <w:lang w:bidi="ar-SA" w:eastAsia="uk-UA" w:val="ru-RU"/>
    </w:rPr>
  </w:style>
  <w:style w:type="paragraph" w:styleId="ListParagraph">
    <w:name w:val="List Paragraph"/>
    <w:basedOn w:val="Обычный"/>
    <w:next w:val="ListParagraph"/>
    <w:autoRedefine w:val="0"/>
    <w:hidden w:val="0"/>
    <w:qFormat w:val="0"/>
    <w:pPr>
      <w:suppressAutoHyphens w:val="1"/>
      <w:spacing w:after="160" w:line="259" w:lineRule="auto"/>
      <w:ind w:left="720" w:leftChars="-1" w:rightChars="0" w:firstLineChars="-1"/>
      <w:textDirection w:val="btLr"/>
      <w:textAlignment w:val="top"/>
      <w:outlineLvl w:val="0"/>
    </w:pPr>
    <w:rPr>
      <w:w w:val="100"/>
      <w:position w:val="-1"/>
      <w:sz w:val="22"/>
      <w:szCs w:val="22"/>
      <w:effect w:val="none"/>
      <w:vertAlign w:val="baseline"/>
      <w:cs w:val="0"/>
      <w:em w:val="none"/>
      <w:lang w:bidi="ar-SA" w:eastAsia="uk-UA" w:val="ru-RU"/>
    </w:rPr>
  </w:style>
  <w:style w:type="table" w:styleId="Сеткатаблицы">
    <w:name w:val="Сетка таблицы"/>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uk-UA"/>
    </w:rPr>
    <w:tblPr>
      <w:tblStyle w:val="Сеткатаблицы"/>
      <w:jc w:val="left"/>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f2">
    <w:name w:val="ff2"/>
    <w:basedOn w:val="Основнойшрифтабзаца"/>
    <w:next w:val="ff2"/>
    <w:autoRedefine w:val="0"/>
    <w:hidden w:val="0"/>
    <w:qFormat w:val="0"/>
    <w:rPr>
      <w:w w:val="100"/>
      <w:position w:val="-1"/>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uk-UA" w:val="uk-UA"/>
    </w:rPr>
  </w:style>
  <w:style w:type="paragraph" w:styleId="Подзаголовок">
    <w:name w:val="Подзаголовок"/>
    <w:basedOn w:val="normal"/>
    <w:next w:val="normal"/>
    <w:autoRedefine w:val="0"/>
    <w:hidden w:val="0"/>
    <w:qFormat w:val="0"/>
    <w:pPr>
      <w:keepNext w:val="1"/>
      <w:keepLines w:val="1"/>
      <w:suppressAutoHyphens w:val="1"/>
      <w:spacing w:after="80" w:before="360" w:line="259" w:lineRule="auto"/>
      <w:ind w:leftChars="-1" w:rightChars="0" w:firstLineChars="-1"/>
      <w:textDirection w:val="btLr"/>
      <w:textAlignment w:val="top"/>
      <w:outlineLvl w:val="0"/>
    </w:pPr>
    <w:rPr>
      <w:rFonts w:ascii="Georgia" w:cs="Georgia" w:eastAsia="Times New Roman" w:hAnsi="Georgia"/>
      <w:i w:val="1"/>
      <w:color w:val="666666"/>
      <w:w w:val="100"/>
      <w:position w:val="-1"/>
      <w:sz w:val="48"/>
      <w:szCs w:val="48"/>
      <w:effect w:val="none"/>
      <w:vertAlign w:val="baseline"/>
      <w:cs w:val="0"/>
      <w:em w:val="none"/>
      <w:lang w:bidi="ar-SA" w:eastAsia="uk-UA" w:val="ru-RU"/>
    </w:rPr>
  </w:style>
  <w:style w:type="table" w:styleId="Стиль">
    <w:name w:val="Стиль"/>
    <w:next w:val="Стиль"/>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uk-UA"/>
    </w:rPr>
    <w:tblPr>
      <w:tblStyle w:val="Стиль"/>
      <w:tblStyleRowBandSize w:val="1"/>
      <w:tblStyleColBandSize w:val="1"/>
      <w:jc w:val="left"/>
      <w:tblCellMar>
        <w:top w:w="0.0" w:type="dxa"/>
        <w:left w:w="108.0" w:type="dxa"/>
        <w:bottom w:w="0.0" w:type="dxa"/>
        <w:right w:w="108.0" w:type="dxa"/>
      </w:tblCellMar>
    </w:tblPr>
  </w:style>
  <w:style w:type="table" w:styleId="Стиль6">
    <w:name w:val="Стиль6"/>
    <w:next w:val="Стиль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uk-UA"/>
    </w:rPr>
    <w:tblPr>
      <w:tblStyle w:val="Стиль6"/>
      <w:tblStyleRowBandSize w:val="1"/>
      <w:tblStyleColBandSize w:val="1"/>
      <w:jc w:val="left"/>
      <w:tblCellMar>
        <w:top w:w="0.0" w:type="dxa"/>
        <w:left w:w="108.0" w:type="dxa"/>
        <w:bottom w:w="0.0" w:type="dxa"/>
        <w:right w:w="108.0" w:type="dxa"/>
      </w:tblCellMar>
    </w:tblPr>
  </w:style>
  <w:style w:type="table" w:styleId="Стиль5">
    <w:name w:val="Стиль5"/>
    <w:next w:val="Стиль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uk-UA"/>
    </w:rPr>
    <w:tblPr>
      <w:tblStyle w:val="Стиль5"/>
      <w:tblStyleRowBandSize w:val="1"/>
      <w:tblStyleColBandSize w:val="1"/>
      <w:jc w:val="left"/>
      <w:tblCellMar>
        <w:top w:w="15.0" w:type="dxa"/>
        <w:left w:w="15.0" w:type="dxa"/>
        <w:bottom w:w="15.0" w:type="dxa"/>
        <w:right w:w="15.0" w:type="dxa"/>
      </w:tblCellMar>
    </w:tblPr>
  </w:style>
  <w:style w:type="table" w:styleId="Стиль4">
    <w:name w:val="Стиль4"/>
    <w:next w:val="Стиль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uk-UA"/>
    </w:rPr>
    <w:tblPr>
      <w:tblStyle w:val="Стиль4"/>
      <w:tblStyleRowBandSize w:val="1"/>
      <w:tblStyleColBandSize w:val="1"/>
      <w:jc w:val="left"/>
      <w:tblCellMar>
        <w:top w:w="15.0" w:type="dxa"/>
        <w:left w:w="15.0" w:type="dxa"/>
        <w:bottom w:w="15.0" w:type="dxa"/>
        <w:right w:w="15.0" w:type="dxa"/>
      </w:tblCellMar>
    </w:tblPr>
  </w:style>
  <w:style w:type="table" w:styleId="Стиль3">
    <w:name w:val="Стиль3"/>
    <w:next w:val="Стиль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uk-UA"/>
    </w:rPr>
    <w:tblPr>
      <w:tblStyle w:val="Стиль3"/>
      <w:tblStyleRowBandSize w:val="1"/>
      <w:tblStyleColBandSize w:val="1"/>
      <w:jc w:val="left"/>
      <w:tblCellMar>
        <w:top w:w="15.0" w:type="dxa"/>
        <w:left w:w="15.0" w:type="dxa"/>
        <w:bottom w:w="15.0" w:type="dxa"/>
        <w:right w:w="15.0" w:type="dxa"/>
      </w:tblCellMar>
    </w:tblPr>
  </w:style>
  <w:style w:type="table" w:styleId="Стиль2">
    <w:name w:val="Стиль2"/>
    <w:next w:val="Стиль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uk-UA"/>
    </w:rPr>
    <w:tblPr>
      <w:tblStyle w:val="Стиль2"/>
      <w:tblStyleRowBandSize w:val="1"/>
      <w:tblStyleColBandSize w:val="1"/>
      <w:jc w:val="left"/>
      <w:tblCellMar>
        <w:top w:w="15.0" w:type="dxa"/>
        <w:left w:w="15.0" w:type="dxa"/>
        <w:bottom w:w="15.0" w:type="dxa"/>
        <w:right w:w="15.0" w:type="dxa"/>
      </w:tblCellMar>
    </w:tblPr>
  </w:style>
  <w:style w:type="table" w:styleId="Стиль1">
    <w:name w:val="Стиль1"/>
    <w:next w:val="Стиль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uk-UA"/>
    </w:rPr>
    <w:tblPr>
      <w:tblStyle w:val="Стиль1"/>
      <w:tblStyleRowBandSize w:val="1"/>
      <w:tblStyleColBandSize w:val="1"/>
      <w:jc w:val="left"/>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8nse4PL3f0VbICux01vPVwSGLg==">AMUW2mUcrlnCscMFAdAaeYOSHYSCYBpJZPXGViA4Y7uFhGsILhxGHSLLecLni4J9iCZh9/qqYib6POx4mO77NJ2Luj922OGn3THF8G8F/WJyAKRct2t3jcdjpSHE1VKI1/eSxJtLIg0b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2021-02-23T17:41:00Z</dcterms:created>
  <dc:creator>Valentina_Nikolaevna</dc:creator>
</cp:coreProperties>
</file>